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3B" w:rsidRDefault="00DF3A9D">
      <w:pPr>
        <w:jc w:val="center"/>
        <w:rPr>
          <w:rFonts w:ascii="Lucida Console" w:hAnsi="Lucida Console" w:cs="Lucida Console"/>
          <w:b/>
          <w:sz w:val="24"/>
          <w:szCs w:val="24"/>
        </w:rPr>
      </w:pPr>
      <w:r>
        <w:rPr>
          <w:rFonts w:ascii="Lucida Console" w:hAnsi="Lucida Console" w:cs="Lucida Console"/>
          <w:b/>
          <w:sz w:val="24"/>
          <w:szCs w:val="24"/>
          <w:lang w:val="es-MX"/>
        </w:rPr>
        <w:t xml:space="preserve">X </w:t>
      </w:r>
      <w:r>
        <w:rPr>
          <w:rFonts w:ascii="Lucida Console" w:hAnsi="Lucida Console" w:cs="Lucida Console"/>
          <w:b/>
          <w:sz w:val="24"/>
          <w:szCs w:val="24"/>
        </w:rPr>
        <w:t>FESTIVAL COSTUMBRISTA DE LOS ANDES 20</w:t>
      </w:r>
      <w:r>
        <w:rPr>
          <w:rFonts w:ascii="Lucida Console" w:hAnsi="Lucida Console" w:cs="Lucida Console"/>
          <w:b/>
          <w:sz w:val="24"/>
          <w:szCs w:val="24"/>
          <w:lang w:val="es-MX"/>
        </w:rPr>
        <w:t xml:space="preserve">22                        </w:t>
      </w:r>
      <w:r>
        <w:rPr>
          <w:rFonts w:ascii="Lucida Console" w:hAnsi="Lucida Console" w:cs="Lucida Console"/>
          <w:b/>
          <w:sz w:val="24"/>
          <w:szCs w:val="24"/>
        </w:rPr>
        <w:t>BASES DE LA FERIA GASTRONÓMICA CRIOLLA</w:t>
      </w:r>
    </w:p>
    <w:p w:rsidR="0010703B" w:rsidRDefault="00DF3A9D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CONVOCATORIA:</w:t>
      </w:r>
    </w:p>
    <w:p w:rsidR="0010703B" w:rsidRDefault="00DF3A9D">
      <w:p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La Comisión Organizadora del </w:t>
      </w:r>
      <w:r>
        <w:rPr>
          <w:color w:val="0F243E" w:themeColor="text2" w:themeShade="80"/>
          <w:sz w:val="24"/>
          <w:szCs w:val="24"/>
          <w:lang w:val="es-MX"/>
        </w:rPr>
        <w:t>X</w:t>
      </w:r>
      <w:r>
        <w:rPr>
          <w:color w:val="0F243E" w:themeColor="text2" w:themeShade="80"/>
          <w:sz w:val="24"/>
          <w:szCs w:val="24"/>
        </w:rPr>
        <w:t xml:space="preserve"> Festival Costumbrista de Los  Andes, invita a los Restaurantes, Picadas y Pequeños Emprendimientos Gastronómicos a participar en la Muestra Gastronómica Criolla a realizarse del </w:t>
      </w:r>
      <w:r>
        <w:rPr>
          <w:color w:val="0F243E" w:themeColor="text2" w:themeShade="80"/>
          <w:sz w:val="24"/>
          <w:szCs w:val="24"/>
          <w:lang w:val="es-MX"/>
        </w:rPr>
        <w:t>28</w:t>
      </w:r>
      <w:r>
        <w:rPr>
          <w:color w:val="0F243E" w:themeColor="text2" w:themeShade="80"/>
          <w:sz w:val="24"/>
          <w:szCs w:val="24"/>
        </w:rPr>
        <w:t xml:space="preserve"> Octubre al 0</w:t>
      </w:r>
      <w:r>
        <w:rPr>
          <w:color w:val="0F243E" w:themeColor="text2" w:themeShade="80"/>
          <w:sz w:val="24"/>
          <w:szCs w:val="24"/>
          <w:lang w:val="es-MX"/>
        </w:rPr>
        <w:t>1</w:t>
      </w:r>
      <w:r>
        <w:rPr>
          <w:color w:val="0F243E" w:themeColor="text2" w:themeShade="80"/>
          <w:sz w:val="24"/>
          <w:szCs w:val="24"/>
        </w:rPr>
        <w:t xml:space="preserve"> de Noviembre  del 20</w:t>
      </w:r>
      <w:r>
        <w:rPr>
          <w:color w:val="0F243E" w:themeColor="text2" w:themeShade="80"/>
          <w:sz w:val="24"/>
          <w:szCs w:val="24"/>
          <w:lang w:val="es-MX"/>
        </w:rPr>
        <w:t>22</w:t>
      </w:r>
      <w:r>
        <w:rPr>
          <w:color w:val="0F243E" w:themeColor="text2" w:themeShade="80"/>
          <w:sz w:val="24"/>
          <w:szCs w:val="24"/>
        </w:rPr>
        <w:t xml:space="preserve">  en el Parque Urbano, como una forma </w:t>
      </w:r>
      <w:r>
        <w:rPr>
          <w:color w:val="0F243E" w:themeColor="text2" w:themeShade="80"/>
          <w:sz w:val="24"/>
          <w:szCs w:val="24"/>
        </w:rPr>
        <w:t>de promover la cocina tradicional y cultura gastronómica de la zona del Aconcagua.</w:t>
      </w:r>
    </w:p>
    <w:p w:rsidR="0010703B" w:rsidRDefault="00DF3A9D">
      <w:pPr>
        <w:spacing w:after="0" w:line="240" w:lineRule="auto"/>
        <w:jc w:val="both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A) Requisitos de los postulantes:</w:t>
      </w:r>
    </w:p>
    <w:p w:rsidR="0010703B" w:rsidRDefault="00DF3A9D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 Los postulantes deberán indicar en qué categoría postulan:</w:t>
      </w:r>
    </w:p>
    <w:p w:rsidR="0010703B" w:rsidRDefault="00DF3A9D">
      <w:pPr>
        <w:pStyle w:val="Prrafodelista"/>
        <w:numPr>
          <w:ilvl w:val="1"/>
          <w:numId w:val="1"/>
        </w:numPr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Picada Popular. (Venta en piso de choripanes, empanadas, papas fritas, </w:t>
      </w:r>
      <w:proofErr w:type="spellStart"/>
      <w:r>
        <w:rPr>
          <w:color w:val="0F243E" w:themeColor="text2" w:themeShade="80"/>
          <w:sz w:val="24"/>
          <w:szCs w:val="24"/>
        </w:rPr>
        <w:t>Sopaipil</w:t>
      </w:r>
      <w:r>
        <w:rPr>
          <w:color w:val="0F243E" w:themeColor="text2" w:themeShade="80"/>
          <w:sz w:val="24"/>
          <w:szCs w:val="24"/>
        </w:rPr>
        <w:t>las</w:t>
      </w:r>
      <w:proofErr w:type="spellEnd"/>
      <w:r>
        <w:rPr>
          <w:color w:val="0F243E" w:themeColor="text2" w:themeShade="80"/>
          <w:sz w:val="24"/>
          <w:szCs w:val="24"/>
        </w:rPr>
        <w:t xml:space="preserve"> entre  otros productos gastronómicos típicos y de acorde al  evento)</w:t>
      </w:r>
    </w:p>
    <w:p w:rsidR="0010703B" w:rsidRDefault="00DF3A9D">
      <w:pPr>
        <w:pStyle w:val="Prrafodelista"/>
        <w:numPr>
          <w:ilvl w:val="1"/>
          <w:numId w:val="1"/>
        </w:numPr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  <w:lang w:val="es-MX"/>
        </w:rPr>
        <w:t>Restaurante</w:t>
      </w:r>
      <w:r>
        <w:rPr>
          <w:color w:val="0F243E" w:themeColor="text2" w:themeShade="80"/>
          <w:sz w:val="24"/>
          <w:szCs w:val="24"/>
        </w:rPr>
        <w:t>. ( Venta de platos preparados, almuerzos, menú y Platillos típicos como son pastel de choclo, costillar y comida típica acorde  al  evento)</w:t>
      </w:r>
    </w:p>
    <w:p w:rsidR="0010703B" w:rsidRDefault="00DF3A9D">
      <w:pPr>
        <w:pStyle w:val="Prrafodelista"/>
        <w:numPr>
          <w:ilvl w:val="1"/>
          <w:numId w:val="1"/>
        </w:numPr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Carros </w:t>
      </w:r>
      <w:proofErr w:type="spellStart"/>
      <w:r>
        <w:rPr>
          <w:color w:val="0F243E" w:themeColor="text2" w:themeShade="80"/>
          <w:sz w:val="24"/>
          <w:szCs w:val="24"/>
        </w:rPr>
        <w:t>Food</w:t>
      </w:r>
      <w:proofErr w:type="spellEnd"/>
      <w:r>
        <w:rPr>
          <w:color w:val="0F243E" w:themeColor="text2" w:themeShade="80"/>
          <w:sz w:val="24"/>
          <w:szCs w:val="24"/>
        </w:rPr>
        <w:t xml:space="preserve"> </w:t>
      </w:r>
      <w:proofErr w:type="spellStart"/>
      <w:r>
        <w:rPr>
          <w:color w:val="0F243E" w:themeColor="text2" w:themeShade="80"/>
          <w:sz w:val="24"/>
          <w:szCs w:val="24"/>
        </w:rPr>
        <w:t>Track</w:t>
      </w:r>
      <w:proofErr w:type="spellEnd"/>
      <w:r>
        <w:rPr>
          <w:color w:val="0F243E" w:themeColor="text2" w:themeShade="80"/>
          <w:sz w:val="24"/>
          <w:szCs w:val="24"/>
        </w:rPr>
        <w:t>. (solo aquell</w:t>
      </w:r>
      <w:r>
        <w:rPr>
          <w:color w:val="0F243E" w:themeColor="text2" w:themeShade="80"/>
          <w:sz w:val="24"/>
          <w:szCs w:val="24"/>
        </w:rPr>
        <w:t>os que expendan producto de carácter típico y que tengan relación con alimentos típicos).</w:t>
      </w:r>
    </w:p>
    <w:p w:rsidR="0010703B" w:rsidRDefault="00DF3A9D">
      <w:pPr>
        <w:pStyle w:val="Prrafodelista"/>
        <w:numPr>
          <w:ilvl w:val="1"/>
          <w:numId w:val="1"/>
        </w:numPr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Carros Churreros y algodoneros.</w:t>
      </w:r>
    </w:p>
    <w:p w:rsidR="0010703B" w:rsidRDefault="00DF3A9D">
      <w:pPr>
        <w:pStyle w:val="Prrafodelista"/>
        <w:numPr>
          <w:ilvl w:val="1"/>
          <w:numId w:val="1"/>
        </w:numPr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Cerveceros.</w:t>
      </w:r>
    </w:p>
    <w:p w:rsidR="0010703B" w:rsidRDefault="00DF3A9D">
      <w:pPr>
        <w:pStyle w:val="Prrafodelista"/>
        <w:numPr>
          <w:ilvl w:val="1"/>
          <w:numId w:val="1"/>
        </w:numPr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En esta versión será necesario y obligatorios que todos los postulantes presenten preparaciones típicas relacionadas con e</w:t>
      </w:r>
      <w:r>
        <w:rPr>
          <w:color w:val="0F243E" w:themeColor="text2" w:themeShade="80"/>
          <w:sz w:val="24"/>
          <w:szCs w:val="24"/>
        </w:rPr>
        <w:t>l evento, esto con el objetivo de resaltar las costumbres culturales y gastronómicas de nuestra zona.</w:t>
      </w:r>
    </w:p>
    <w:p w:rsidR="0010703B" w:rsidRDefault="00DF3A9D">
      <w:pPr>
        <w:pStyle w:val="Prrafodelista"/>
        <w:numPr>
          <w:ilvl w:val="1"/>
          <w:numId w:val="1"/>
        </w:numPr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Se aceptaran propuestas gastronómicas migrantes, siempre y cuando se encuentre descritas dentro de las culturas y costumbre gastronómicas de otras nacione</w:t>
      </w:r>
      <w:r>
        <w:rPr>
          <w:color w:val="0F243E" w:themeColor="text2" w:themeShade="80"/>
          <w:sz w:val="24"/>
          <w:szCs w:val="24"/>
        </w:rPr>
        <w:t>s.</w:t>
      </w:r>
    </w:p>
    <w:p w:rsidR="0010703B" w:rsidRDefault="00DF3A9D">
      <w:pPr>
        <w:pStyle w:val="Prrafodelista"/>
        <w:numPr>
          <w:ilvl w:val="0"/>
          <w:numId w:val="1"/>
        </w:numPr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 Quienes expendan productos  alimenticios deben contar con Resolución Sanitaria al día. Quienes no la posean deben acogerse al Decreto Supremo 214 o en su defecto al Decreto Supremo 19749 (MEF) de la Autoridad Sanitaria.</w:t>
      </w:r>
    </w:p>
    <w:p w:rsidR="0010703B" w:rsidRDefault="00DF3A9D">
      <w:pPr>
        <w:pStyle w:val="Prrafodelista"/>
        <w:numPr>
          <w:ilvl w:val="0"/>
          <w:numId w:val="1"/>
        </w:numPr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Contar con iniciación de activid</w:t>
      </w:r>
      <w:r>
        <w:rPr>
          <w:color w:val="0F243E" w:themeColor="text2" w:themeShade="80"/>
          <w:sz w:val="24"/>
          <w:szCs w:val="24"/>
        </w:rPr>
        <w:t>ades ante el SII.  Quienes no tengan inicio de actividades deben acogerse al artículo 64 del Código Tributario, en relación con el impuesto fijo.</w:t>
      </w:r>
    </w:p>
    <w:p w:rsidR="0010703B" w:rsidRDefault="00DF3A9D">
      <w:pPr>
        <w:pStyle w:val="Prrafodelista"/>
        <w:numPr>
          <w:ilvl w:val="0"/>
          <w:numId w:val="1"/>
        </w:numPr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Los productores que expendan bebidas alcohólicas deberán cumplir con todas las exigencias establecidas en la L</w:t>
      </w:r>
      <w:r>
        <w:rPr>
          <w:color w:val="0F243E" w:themeColor="text2" w:themeShade="80"/>
          <w:sz w:val="24"/>
          <w:szCs w:val="24"/>
        </w:rPr>
        <w:t xml:space="preserve">ey Nº18.455. De igual forma, deberán cumplir con los requisitos exigidos por la Autoridad Sanitaria (permisos), y “Resolución </w:t>
      </w:r>
      <w:r>
        <w:rPr>
          <w:color w:val="0F243E" w:themeColor="text2" w:themeShade="80"/>
          <w:sz w:val="24"/>
          <w:szCs w:val="24"/>
        </w:rPr>
        <w:lastRenderedPageBreak/>
        <w:t xml:space="preserve">Sanitaria” en aquellos productos que así lo </w:t>
      </w:r>
      <w:r>
        <w:rPr>
          <w:color w:val="0F243E" w:themeColor="text2" w:themeShade="80"/>
          <w:sz w:val="24"/>
          <w:szCs w:val="24"/>
          <w:lang w:val="es-MX"/>
        </w:rPr>
        <w:t>requieran</w:t>
      </w:r>
      <w:r>
        <w:rPr>
          <w:color w:val="0F243E" w:themeColor="text2" w:themeShade="80"/>
          <w:sz w:val="24"/>
          <w:szCs w:val="24"/>
        </w:rPr>
        <w:t>. Se recomienda efectuar previamente las consultas a los servicios públicos c</w:t>
      </w:r>
      <w:r>
        <w:rPr>
          <w:color w:val="0F243E" w:themeColor="text2" w:themeShade="80"/>
          <w:sz w:val="24"/>
          <w:szCs w:val="24"/>
        </w:rPr>
        <w:t>orrespondientes.</w:t>
      </w:r>
    </w:p>
    <w:p w:rsidR="0010703B" w:rsidRDefault="00DF3A9D">
      <w:pPr>
        <w:pStyle w:val="Prrafodelista"/>
        <w:numPr>
          <w:ilvl w:val="0"/>
          <w:numId w:val="1"/>
        </w:numPr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Para  la categoría de Cerveceros, será requisito irrenunciable ser productor de su propia cerveza, para esto todos los postulantes en esta categoría deberán presentar el certificado  correspondiente.</w:t>
      </w:r>
    </w:p>
    <w:p w:rsidR="0010703B" w:rsidRDefault="00DF3A9D">
      <w:pPr>
        <w:jc w:val="both"/>
        <w:rPr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B) Plazos de Postulación</w:t>
      </w:r>
      <w:r>
        <w:rPr>
          <w:color w:val="0F243E" w:themeColor="text2" w:themeShade="80"/>
          <w:sz w:val="24"/>
          <w:szCs w:val="24"/>
        </w:rPr>
        <w:t xml:space="preserve">: </w:t>
      </w:r>
    </w:p>
    <w:p w:rsidR="0010703B" w:rsidRDefault="00DF3A9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val="es-MX"/>
        </w:rPr>
      </w:pPr>
      <w:r>
        <w:rPr>
          <w:color w:val="0F243E" w:themeColor="text2" w:themeShade="80"/>
          <w:sz w:val="24"/>
          <w:szCs w:val="24"/>
        </w:rPr>
        <w:t>a</w:t>
      </w:r>
      <w:r>
        <w:rPr>
          <w:sz w:val="24"/>
          <w:szCs w:val="24"/>
        </w:rPr>
        <w:t xml:space="preserve">) El proceso de postulación será desde el </w:t>
      </w:r>
      <w:r>
        <w:rPr>
          <w:rFonts w:ascii="Calibri" w:eastAsia="Calibri" w:hAnsi="Calibri" w:cs="Calibri"/>
          <w:b/>
          <w:bCs/>
          <w:color w:val="0F243E"/>
          <w:sz w:val="24"/>
          <w:lang w:val="es-MX"/>
        </w:rPr>
        <w:t>Lunes 10 al viernes 14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  <w:lang w:val="es-MX"/>
        </w:rPr>
        <w:t>de Octubre del 2022</w:t>
      </w:r>
      <w:r>
        <w:rPr>
          <w:rFonts w:ascii="Calibri" w:eastAsia="Calibri" w:hAnsi="Calibri" w:cs="Calibri"/>
          <w:b/>
          <w:sz w:val="24"/>
        </w:rPr>
        <w:t xml:space="preserve"> hasta las 24:00</w:t>
      </w:r>
      <w:r>
        <w:rPr>
          <w:rFonts w:ascii="Calibri" w:eastAsia="Calibri" w:hAnsi="Calibri" w:cs="Calibri"/>
          <w:b/>
          <w:sz w:val="24"/>
          <w:lang w:val="es-MX"/>
        </w:rPr>
        <w:t xml:space="preserve"> horas</w:t>
      </w:r>
    </w:p>
    <w:p w:rsidR="0010703B" w:rsidRDefault="00DF3A9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sz w:val="24"/>
          <w:szCs w:val="24"/>
        </w:rPr>
        <w:t xml:space="preserve">b) Entrega de resultados de las postulaciones será el día </w:t>
      </w:r>
      <w:proofErr w:type="gramStart"/>
      <w:r w:rsidRPr="00D13EBB">
        <w:rPr>
          <w:rFonts w:ascii="Calibri" w:eastAsia="Calibri" w:hAnsi="Calibri" w:cs="Calibri"/>
          <w:b/>
          <w:sz w:val="24"/>
          <w:lang w:val="es-MX"/>
        </w:rPr>
        <w:t>Lunes 17 de Octubre</w:t>
      </w:r>
      <w:proofErr w:type="gramEnd"/>
      <w:r w:rsidRPr="00D13EBB">
        <w:rPr>
          <w:rFonts w:ascii="Calibri" w:eastAsia="Calibri" w:hAnsi="Calibri" w:cs="Calibri"/>
          <w:b/>
          <w:sz w:val="24"/>
        </w:rPr>
        <w:t xml:space="preserve"> del 20</w:t>
      </w:r>
      <w:r w:rsidRPr="00D13EBB">
        <w:rPr>
          <w:rFonts w:ascii="Calibri" w:eastAsia="Calibri" w:hAnsi="Calibri" w:cs="Calibri"/>
          <w:b/>
          <w:sz w:val="24"/>
          <w:lang w:val="es-MX"/>
        </w:rPr>
        <w:t>22</w:t>
      </w:r>
      <w:r>
        <w:rPr>
          <w:rFonts w:ascii="Calibri" w:eastAsia="Calibri" w:hAnsi="Calibri" w:cs="Calibri"/>
          <w:sz w:val="24"/>
        </w:rPr>
        <w:t xml:space="preserve"> hasta la 20:00 física o telefónicamente.</w:t>
      </w:r>
    </w:p>
    <w:p w:rsidR="0010703B" w:rsidRDefault="00DF3A9D">
      <w:pPr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c) Las postulaciones </w:t>
      </w:r>
      <w:r>
        <w:rPr>
          <w:color w:val="0F243E" w:themeColor="text2" w:themeShade="80"/>
          <w:sz w:val="24"/>
          <w:szCs w:val="24"/>
        </w:rPr>
        <w:t xml:space="preserve"> y entrega de los antecedente requeridos solo se realizaran en forma electrónica, esto con el objetivo de mantener un patrón de las postulaciones en orden y control de los plazos y documentación exigida.</w:t>
      </w:r>
    </w:p>
    <w:p w:rsidR="0010703B" w:rsidRDefault="00DF3A9D">
      <w:pPr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d) Para los postulantes con carros de comida y/o </w:t>
      </w:r>
      <w:proofErr w:type="spellStart"/>
      <w:r>
        <w:rPr>
          <w:color w:val="0F243E" w:themeColor="text2" w:themeShade="80"/>
          <w:sz w:val="24"/>
          <w:szCs w:val="24"/>
        </w:rPr>
        <w:t>Foo</w:t>
      </w:r>
      <w:r>
        <w:rPr>
          <w:color w:val="0F243E" w:themeColor="text2" w:themeShade="80"/>
          <w:sz w:val="24"/>
          <w:szCs w:val="24"/>
        </w:rPr>
        <w:t>d</w:t>
      </w:r>
      <w:proofErr w:type="spellEnd"/>
      <w:r>
        <w:rPr>
          <w:color w:val="0F243E" w:themeColor="text2" w:themeShade="80"/>
          <w:sz w:val="24"/>
          <w:szCs w:val="24"/>
        </w:rPr>
        <w:t xml:space="preserve"> </w:t>
      </w:r>
      <w:proofErr w:type="spellStart"/>
      <w:r>
        <w:rPr>
          <w:color w:val="0F243E" w:themeColor="text2" w:themeShade="80"/>
          <w:sz w:val="24"/>
          <w:szCs w:val="24"/>
        </w:rPr>
        <w:t>Track</w:t>
      </w:r>
      <w:proofErr w:type="spellEnd"/>
      <w:r>
        <w:rPr>
          <w:color w:val="0F243E" w:themeColor="text2" w:themeShade="80"/>
          <w:sz w:val="24"/>
          <w:szCs w:val="24"/>
        </w:rPr>
        <w:t xml:space="preserve"> será obligatorio indicar las dimensiones  de su carro, incluyendo la lanza de arrastre, de no entregar los datos solicitados es una opción de quedar fuera del proceso de selección.</w:t>
      </w:r>
    </w:p>
    <w:p w:rsidR="0010703B" w:rsidRDefault="00DF3A9D">
      <w:pPr>
        <w:jc w:val="both"/>
        <w:rPr>
          <w:color w:val="0F243E" w:themeColor="text2" w:themeShade="80"/>
          <w:sz w:val="24"/>
          <w:szCs w:val="24"/>
        </w:rPr>
      </w:pPr>
      <w:r>
        <w:rPr>
          <w:sz w:val="24"/>
          <w:szCs w:val="24"/>
        </w:rPr>
        <w:t xml:space="preserve">La confirmación </w:t>
      </w:r>
      <w:r>
        <w:rPr>
          <w:color w:val="0F243E" w:themeColor="text2" w:themeShade="80"/>
          <w:sz w:val="24"/>
          <w:szCs w:val="24"/>
        </w:rPr>
        <w:t xml:space="preserve">de los postulantes y pago  del aporte </w:t>
      </w:r>
      <w:r>
        <w:rPr>
          <w:sz w:val="24"/>
          <w:szCs w:val="24"/>
        </w:rPr>
        <w:t>será</w:t>
      </w:r>
      <w:r>
        <w:rPr>
          <w:color w:val="0F243E" w:themeColor="text2" w:themeShade="80"/>
          <w:sz w:val="24"/>
          <w:szCs w:val="24"/>
        </w:rPr>
        <w:t xml:space="preserve"> el día</w:t>
      </w:r>
      <w:r>
        <w:rPr>
          <w:color w:val="0F243E" w:themeColor="text2" w:themeShade="80"/>
          <w:sz w:val="24"/>
          <w:szCs w:val="24"/>
          <w:lang w:val="es-MX"/>
        </w:rPr>
        <w:t xml:space="preserve"> </w:t>
      </w:r>
      <w:r w:rsidR="00DD4BE0">
        <w:rPr>
          <w:rFonts w:ascii="Calibri" w:eastAsia="Calibri" w:hAnsi="Calibri" w:cs="Calibri"/>
          <w:b/>
          <w:color w:val="0F243E"/>
          <w:sz w:val="24"/>
          <w:lang w:val="es-MX"/>
        </w:rPr>
        <w:t>|</w:t>
      </w:r>
      <w:r w:rsidR="00DD4BE0">
        <w:rPr>
          <w:rFonts w:ascii="Calibri" w:eastAsia="Calibri" w:hAnsi="Calibri" w:cs="Calibri"/>
          <w:b/>
          <w:color w:val="0F243E"/>
          <w:sz w:val="24"/>
          <w:lang w:val="es-MX"/>
        </w:rPr>
        <w:tab/>
      </w:r>
      <w:r>
        <w:rPr>
          <w:rFonts w:ascii="Calibri" w:eastAsia="Calibri" w:hAnsi="Calibri" w:cs="Calibri"/>
          <w:color w:val="0F243E"/>
          <w:sz w:val="24"/>
          <w:lang w:val="es-MX"/>
        </w:rPr>
        <w:t xml:space="preserve"> a las 19,00 horas en lugar por confirmar,</w:t>
      </w:r>
      <w:r>
        <w:rPr>
          <w:color w:val="0F243E" w:themeColor="text2" w:themeShade="80"/>
          <w:sz w:val="24"/>
          <w:szCs w:val="24"/>
        </w:rPr>
        <w:t xml:space="preserve"> por lo tanto la asistencia de los postulantes aceptados será obligatoria a dicha reunión.</w:t>
      </w:r>
    </w:p>
    <w:p w:rsidR="0010703B" w:rsidRDefault="00DF3A9D">
      <w:pPr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Queda expresamente establecido que los postulantes que no asistan o no cancelen el aporte respectivo </w:t>
      </w:r>
      <w:r>
        <w:rPr>
          <w:color w:val="0F243E" w:themeColor="text2" w:themeShade="80"/>
          <w:sz w:val="24"/>
          <w:szCs w:val="24"/>
        </w:rPr>
        <w:t>en esta reunión, le dará derecho a la dirección  del Festival Costumbrista  y a la Comisión Gastronómica a correr la lista y elegir a otro postulante.</w:t>
      </w:r>
    </w:p>
    <w:p w:rsidR="0010703B" w:rsidRDefault="00DF3A9D">
      <w:pPr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Se recuerda a todos los participantes  que es de su exclusiva responsabilidad la tramitación de la docume</w:t>
      </w:r>
      <w:r>
        <w:rPr>
          <w:color w:val="0F243E" w:themeColor="text2" w:themeShade="80"/>
          <w:sz w:val="24"/>
          <w:szCs w:val="24"/>
        </w:rPr>
        <w:t>ntación legal, la Asociación Cultural  Festival Costumbrista Los Andes no se hace responsable de las sanciones o clausuras de los stands que no cumplan con los requisitos mínimos de funcionamiento  y/o en que la autoridad así lo decida.</w:t>
      </w:r>
    </w:p>
    <w:p w:rsidR="0010703B" w:rsidRDefault="00DF3A9D">
      <w:pPr>
        <w:spacing w:after="0" w:line="240" w:lineRule="auto"/>
        <w:jc w:val="both"/>
        <w:rPr>
          <w:rFonts w:cs="Arial"/>
          <w:color w:val="FF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Página web para sol</w:t>
      </w:r>
      <w:r>
        <w:rPr>
          <w:b/>
          <w:sz w:val="24"/>
          <w:szCs w:val="24"/>
        </w:rPr>
        <w:t xml:space="preserve">icitud de Bases.: </w:t>
      </w:r>
      <w:hyperlink r:id="rId9" w:history="1">
        <w:r>
          <w:rPr>
            <w:rStyle w:val="Hipervnculo"/>
            <w:rFonts w:cs="Arial"/>
            <w:color w:val="FF0000"/>
            <w:sz w:val="24"/>
            <w:szCs w:val="24"/>
            <w:shd w:val="clear" w:color="auto" w:fill="FFFFFF"/>
          </w:rPr>
          <w:t>www.festivalcostumbristalosandes.cl</w:t>
        </w:r>
      </w:hyperlink>
    </w:p>
    <w:p w:rsidR="0010703B" w:rsidRDefault="0010703B">
      <w:pPr>
        <w:spacing w:after="0" w:line="240" w:lineRule="auto"/>
        <w:jc w:val="both"/>
        <w:rPr>
          <w:rFonts w:cs="Arial"/>
          <w:color w:val="FF0000"/>
          <w:sz w:val="24"/>
          <w:szCs w:val="24"/>
          <w:shd w:val="clear" w:color="auto" w:fill="FFFFFF"/>
        </w:rPr>
      </w:pPr>
    </w:p>
    <w:p w:rsidR="0010703B" w:rsidRDefault="0010703B">
      <w:pPr>
        <w:spacing w:after="0" w:line="240" w:lineRule="auto"/>
        <w:jc w:val="both"/>
        <w:rPr>
          <w:rFonts w:cs="Arial"/>
          <w:color w:val="FF0000"/>
          <w:sz w:val="24"/>
          <w:szCs w:val="24"/>
          <w:shd w:val="clear" w:color="auto" w:fill="FFFFFF"/>
        </w:rPr>
      </w:pPr>
    </w:p>
    <w:p w:rsidR="0010703B" w:rsidRDefault="00DF3A9D">
      <w:pPr>
        <w:spacing w:after="0" w:line="240" w:lineRule="auto"/>
        <w:rPr>
          <w:b/>
          <w:smallCaps/>
          <w:w w:val="90"/>
          <w:sz w:val="24"/>
          <w:szCs w:val="24"/>
        </w:rPr>
      </w:pPr>
      <w:r>
        <w:rPr>
          <w:b/>
          <w:smallCaps/>
          <w:w w:val="90"/>
          <w:sz w:val="24"/>
          <w:szCs w:val="24"/>
        </w:rPr>
        <w:t>Casilla de correo electrónico a la que se despacha el formulario de postulación</w:t>
      </w:r>
    </w:p>
    <w:p w:rsidR="0010703B" w:rsidRDefault="00DF3A9D">
      <w:pPr>
        <w:pStyle w:val="Prrafodelista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gastronomía.fcla@gmail.com</w:t>
      </w:r>
    </w:p>
    <w:p w:rsidR="0010703B" w:rsidRDefault="0010703B">
      <w:pPr>
        <w:jc w:val="both"/>
        <w:rPr>
          <w:b/>
          <w:color w:val="0F243E" w:themeColor="text2" w:themeShade="80"/>
          <w:sz w:val="24"/>
          <w:szCs w:val="24"/>
        </w:rPr>
      </w:pPr>
    </w:p>
    <w:p w:rsidR="0010703B" w:rsidRDefault="00DF3A9D">
      <w:pPr>
        <w:jc w:val="both"/>
        <w:rPr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C) Participación</w:t>
      </w:r>
      <w:r>
        <w:rPr>
          <w:color w:val="0F243E" w:themeColor="text2" w:themeShade="80"/>
          <w:sz w:val="24"/>
          <w:szCs w:val="24"/>
        </w:rPr>
        <w:t>:</w:t>
      </w:r>
    </w:p>
    <w:p w:rsidR="0010703B" w:rsidRDefault="00DF3A9D">
      <w:p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-La Comisión Or</w:t>
      </w:r>
      <w:r>
        <w:rPr>
          <w:color w:val="0F243E" w:themeColor="text2" w:themeShade="80"/>
          <w:sz w:val="24"/>
          <w:szCs w:val="24"/>
        </w:rPr>
        <w:t xml:space="preserve">ganizadora no realiza cobros por derecho y/o venta de los módulos, pero si, se deberá realizar un aporte de </w:t>
      </w:r>
      <w:r>
        <w:rPr>
          <w:b/>
          <w:color w:val="0F243E" w:themeColor="text2" w:themeShade="80"/>
          <w:sz w:val="24"/>
          <w:szCs w:val="24"/>
        </w:rPr>
        <w:t xml:space="preserve">$  </w:t>
      </w:r>
      <w:r>
        <w:rPr>
          <w:b/>
          <w:color w:val="0F243E" w:themeColor="text2" w:themeShade="80"/>
          <w:sz w:val="24"/>
          <w:szCs w:val="24"/>
          <w:lang w:val="es-MX"/>
        </w:rPr>
        <w:t>40</w:t>
      </w:r>
      <w:r>
        <w:rPr>
          <w:b/>
          <w:color w:val="0F243E" w:themeColor="text2" w:themeShade="80"/>
          <w:sz w:val="24"/>
          <w:szCs w:val="24"/>
        </w:rPr>
        <w:t>0.000</w:t>
      </w:r>
      <w:r>
        <w:rPr>
          <w:color w:val="0F243E" w:themeColor="text2" w:themeShade="80"/>
          <w:sz w:val="24"/>
          <w:szCs w:val="24"/>
        </w:rPr>
        <w:t xml:space="preserve"> mil pesos  por conceptos de gastos generales que demanda dicha actividad, como son credenciales, representación, energía, seguridad e instalaciones, entre otros requerimientos. </w:t>
      </w:r>
    </w:p>
    <w:p w:rsidR="0010703B" w:rsidRDefault="00DF3A9D">
      <w:p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-Quien sea aceptado deberá comprometerse a participar en la Muestra Gastronóm</w:t>
      </w:r>
      <w:r>
        <w:rPr>
          <w:color w:val="0F243E" w:themeColor="text2" w:themeShade="80"/>
          <w:sz w:val="24"/>
          <w:szCs w:val="24"/>
        </w:rPr>
        <w:t>ica y no podrá ser reemplazado o ceder el espacio a otra persona que no sea el titular y no le será devuelto el importe cancelado.</w:t>
      </w:r>
    </w:p>
    <w:p w:rsidR="0010703B" w:rsidRDefault="00DF3A9D">
      <w:p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-Es responsabilidad del participante cumplir con las normas vigentes del SII y Autoridad Sanitaria para vender  y exponer sus</w:t>
      </w:r>
      <w:r>
        <w:rPr>
          <w:color w:val="0F243E" w:themeColor="text2" w:themeShade="80"/>
          <w:sz w:val="24"/>
          <w:szCs w:val="24"/>
        </w:rPr>
        <w:t xml:space="preserve"> productos.</w:t>
      </w:r>
    </w:p>
    <w:p w:rsidR="0010703B" w:rsidRDefault="00DF3A9D">
      <w:p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-Cada expositor debe habilitar a su costo un Módulo y dotarlo del mobiliario adecuado. (Color de Toldo, decoración y mobiliario)</w:t>
      </w:r>
    </w:p>
    <w:p w:rsidR="0010703B" w:rsidRDefault="00DF3A9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Módulos de color Azul que cubra</w:t>
      </w:r>
      <w:r>
        <w:rPr>
          <w:color w:val="0F243E" w:themeColor="text2" w:themeShade="80"/>
          <w:sz w:val="24"/>
          <w:szCs w:val="24"/>
        </w:rPr>
        <w:t xml:space="preserve"> los metros adjudicados, </w:t>
      </w:r>
      <w:r>
        <w:rPr>
          <w:color w:val="0F243E" w:themeColor="text2" w:themeShade="80"/>
          <w:sz w:val="24"/>
          <w:szCs w:val="24"/>
        </w:rPr>
        <w:t xml:space="preserve"> </w:t>
      </w:r>
      <w:r>
        <w:rPr>
          <w:color w:val="0F243E" w:themeColor="text2" w:themeShade="80"/>
          <w:sz w:val="24"/>
          <w:szCs w:val="24"/>
        </w:rPr>
        <w:t>(</w:t>
      </w:r>
      <w:r>
        <w:rPr>
          <w:color w:val="0F243E" w:themeColor="text2" w:themeShade="80"/>
          <w:sz w:val="24"/>
          <w:szCs w:val="24"/>
          <w:lang w:val="es-MX"/>
        </w:rPr>
        <w:t>6</w:t>
      </w:r>
      <w:r>
        <w:rPr>
          <w:color w:val="0F243E" w:themeColor="text2" w:themeShade="80"/>
          <w:sz w:val="24"/>
          <w:szCs w:val="24"/>
        </w:rPr>
        <w:t>X6</w:t>
      </w:r>
      <w:r>
        <w:rPr>
          <w:color w:val="0F243E" w:themeColor="text2" w:themeShade="80"/>
          <w:sz w:val="24"/>
          <w:szCs w:val="24"/>
        </w:rPr>
        <w:t>, 3x3</w:t>
      </w:r>
      <w:r>
        <w:rPr>
          <w:color w:val="0F243E" w:themeColor="text2" w:themeShade="80"/>
          <w:sz w:val="24"/>
          <w:szCs w:val="24"/>
        </w:rPr>
        <w:t xml:space="preserve"> Metros</w:t>
      </w:r>
      <w:r>
        <w:rPr>
          <w:color w:val="0F243E" w:themeColor="text2" w:themeShade="80"/>
          <w:sz w:val="24"/>
          <w:szCs w:val="24"/>
        </w:rPr>
        <w:t>)</w:t>
      </w:r>
      <w:r>
        <w:rPr>
          <w:color w:val="0F243E" w:themeColor="text2" w:themeShade="80"/>
          <w:sz w:val="24"/>
          <w:szCs w:val="24"/>
        </w:rPr>
        <w:t>.</w:t>
      </w:r>
    </w:p>
    <w:p w:rsidR="0010703B" w:rsidRDefault="00DF3A9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Lona de color azul para cierre perimetr</w:t>
      </w:r>
      <w:r>
        <w:rPr>
          <w:color w:val="0F243E" w:themeColor="text2" w:themeShade="80"/>
          <w:sz w:val="24"/>
          <w:szCs w:val="24"/>
        </w:rPr>
        <w:t>al de cada módulo.(No se aceptaran cierre perimetrales de otro color)</w:t>
      </w:r>
    </w:p>
    <w:p w:rsidR="0010703B" w:rsidRDefault="00DF3A9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Piso  que cubra </w:t>
      </w:r>
      <w:r>
        <w:rPr>
          <w:color w:val="0F243E" w:themeColor="text2" w:themeShade="80"/>
          <w:sz w:val="24"/>
          <w:szCs w:val="24"/>
        </w:rPr>
        <w:t xml:space="preserve">los metro adjudicados, (3x3 o </w:t>
      </w:r>
      <w:r>
        <w:rPr>
          <w:color w:val="0F243E" w:themeColor="text2" w:themeShade="80"/>
          <w:sz w:val="24"/>
          <w:szCs w:val="24"/>
        </w:rPr>
        <w:t>6X6 metro de superficie que permita una limpieza optima de los módulos</w:t>
      </w:r>
      <w:r>
        <w:rPr>
          <w:color w:val="0F243E" w:themeColor="text2" w:themeShade="80"/>
          <w:sz w:val="24"/>
          <w:szCs w:val="24"/>
        </w:rPr>
        <w:t>)</w:t>
      </w:r>
      <w:r>
        <w:rPr>
          <w:color w:val="0F243E" w:themeColor="text2" w:themeShade="80"/>
          <w:sz w:val="24"/>
          <w:szCs w:val="24"/>
        </w:rPr>
        <w:t>.  solo se permitirá malla  Rachel de un solo color y/o  lonas lavabl</w:t>
      </w:r>
      <w:r>
        <w:rPr>
          <w:color w:val="0F243E" w:themeColor="text2" w:themeShade="80"/>
          <w:sz w:val="24"/>
          <w:szCs w:val="24"/>
        </w:rPr>
        <w:t xml:space="preserve">es </w:t>
      </w:r>
    </w:p>
    <w:p w:rsidR="0010703B" w:rsidRDefault="00DF3A9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Una llave de Jardín con entrada de HE de ½.</w:t>
      </w:r>
    </w:p>
    <w:p w:rsidR="0010703B" w:rsidRDefault="00DF3A9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Lavaplatos de acero inoxidable con una salida de 75 </w:t>
      </w:r>
      <w:proofErr w:type="spellStart"/>
      <w:r>
        <w:rPr>
          <w:color w:val="0F243E" w:themeColor="text2" w:themeShade="80"/>
          <w:sz w:val="24"/>
          <w:szCs w:val="24"/>
        </w:rPr>
        <w:t>mm.</w:t>
      </w:r>
      <w:proofErr w:type="spellEnd"/>
    </w:p>
    <w:p w:rsidR="0010703B" w:rsidRDefault="00DF3A9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Contenedor de basura con tapa que cubra las necesidades propias de su actividad.</w:t>
      </w:r>
    </w:p>
    <w:p w:rsidR="0010703B" w:rsidRDefault="00DF3A9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Instalación  eléctrica que cubra los requerimientos </w:t>
      </w:r>
      <w:r>
        <w:rPr>
          <w:sz w:val="24"/>
          <w:szCs w:val="24"/>
        </w:rPr>
        <w:t>propios</w:t>
      </w:r>
      <w:r>
        <w:rPr>
          <w:color w:val="0F243E" w:themeColor="text2" w:themeShade="80"/>
          <w:sz w:val="24"/>
          <w:szCs w:val="24"/>
        </w:rPr>
        <w:t xml:space="preserve"> de su activ</w:t>
      </w:r>
      <w:r>
        <w:rPr>
          <w:color w:val="0F243E" w:themeColor="text2" w:themeShade="80"/>
          <w:sz w:val="24"/>
          <w:szCs w:val="24"/>
        </w:rPr>
        <w:t>idad</w:t>
      </w:r>
      <w:r>
        <w:rPr>
          <w:color w:val="0F243E" w:themeColor="text2" w:themeShade="80"/>
          <w:sz w:val="24"/>
          <w:szCs w:val="24"/>
        </w:rPr>
        <w:t>, certificada.</w:t>
      </w:r>
    </w:p>
    <w:p w:rsidR="0010703B" w:rsidRDefault="00DF3A9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Un Extintor clase A.B.C visible en cada módulo.</w:t>
      </w:r>
    </w:p>
    <w:p w:rsidR="0010703B" w:rsidRDefault="00DF3A9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Todas las conexiones de gas por norma SEC debe ser con flexible metálico de gas licuado de al menos 1 </w:t>
      </w:r>
      <w:proofErr w:type="spellStart"/>
      <w:r>
        <w:rPr>
          <w:color w:val="0F243E" w:themeColor="text2" w:themeShade="80"/>
          <w:sz w:val="24"/>
          <w:szCs w:val="24"/>
        </w:rPr>
        <w:t>mt</w:t>
      </w:r>
      <w:proofErr w:type="spellEnd"/>
      <w:r>
        <w:rPr>
          <w:color w:val="0F243E" w:themeColor="text2" w:themeShade="80"/>
          <w:sz w:val="24"/>
          <w:szCs w:val="24"/>
        </w:rPr>
        <w:t>. de extensión.</w:t>
      </w:r>
    </w:p>
    <w:p w:rsidR="0010703B" w:rsidRDefault="00DF3A9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Para la instalación  de los módulos  de piso queda prohibido el uso d</w:t>
      </w:r>
      <w:r>
        <w:rPr>
          <w:color w:val="0F243E" w:themeColor="text2" w:themeShade="80"/>
          <w:sz w:val="24"/>
          <w:szCs w:val="24"/>
        </w:rPr>
        <w:t>e los siguientes elementos y/o Artículos.</w:t>
      </w:r>
    </w:p>
    <w:p w:rsidR="0010703B" w:rsidRDefault="00DF3A9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Mangueras de plásticos como conductor de Gas.</w:t>
      </w:r>
    </w:p>
    <w:p w:rsidR="0010703B" w:rsidRDefault="00DF3A9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Plásticos y Desechos de publicidad  como cierres perimetral de los módulos.</w:t>
      </w:r>
    </w:p>
    <w:p w:rsidR="0010703B" w:rsidRDefault="00DF3A9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Elementos inflamables como superficie de piso.</w:t>
      </w:r>
    </w:p>
    <w:p w:rsidR="0010703B" w:rsidRDefault="00DF3A9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Instalaciones eléctricas deficientes.</w:t>
      </w:r>
    </w:p>
    <w:p w:rsidR="0010703B" w:rsidRDefault="00DF3A9D">
      <w:p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-El </w:t>
      </w:r>
      <w:r>
        <w:rPr>
          <w:color w:val="0F243E" w:themeColor="text2" w:themeShade="80"/>
          <w:sz w:val="24"/>
          <w:szCs w:val="24"/>
        </w:rPr>
        <w:t>servicio deberá iniciarse el jueves, viernes sábado y domingo entre las 10:00  y  22:00Hrs.</w:t>
      </w:r>
    </w:p>
    <w:p w:rsidR="0010703B" w:rsidRDefault="00DF3A9D">
      <w:pPr>
        <w:spacing w:after="0" w:line="240" w:lineRule="auto"/>
        <w:jc w:val="both"/>
        <w:rPr>
          <w:b/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lastRenderedPageBreak/>
        <w:t xml:space="preserve">- Cada módulo debe poseer un letrero de identificación, con el nombre y el producto que expende, además de la frase </w:t>
      </w:r>
      <w:proofErr w:type="gramStart"/>
      <w:r>
        <w:rPr>
          <w:color w:val="0F243E" w:themeColor="text2" w:themeShade="80"/>
          <w:sz w:val="24"/>
          <w:szCs w:val="24"/>
        </w:rPr>
        <w:t>“ X</w:t>
      </w:r>
      <w:proofErr w:type="gramEnd"/>
      <w:r>
        <w:rPr>
          <w:b/>
          <w:color w:val="0F243E" w:themeColor="text2" w:themeShade="80"/>
          <w:sz w:val="24"/>
          <w:szCs w:val="24"/>
        </w:rPr>
        <w:t xml:space="preserve"> Muestra Gastronómica Criolla 20</w:t>
      </w:r>
      <w:r>
        <w:rPr>
          <w:b/>
          <w:color w:val="0F243E" w:themeColor="text2" w:themeShade="80"/>
          <w:sz w:val="24"/>
          <w:szCs w:val="24"/>
          <w:lang w:val="es-MX"/>
        </w:rPr>
        <w:t>22</w:t>
      </w:r>
      <w:r>
        <w:rPr>
          <w:b/>
          <w:color w:val="0F243E" w:themeColor="text2" w:themeShade="80"/>
          <w:sz w:val="24"/>
          <w:szCs w:val="24"/>
        </w:rPr>
        <w:t xml:space="preserve"> y el nombr</w:t>
      </w:r>
      <w:r>
        <w:rPr>
          <w:b/>
          <w:color w:val="0F243E" w:themeColor="text2" w:themeShade="80"/>
          <w:sz w:val="24"/>
          <w:szCs w:val="24"/>
        </w:rPr>
        <w:t>e del módulo”.</w:t>
      </w:r>
    </w:p>
    <w:p w:rsidR="0010703B" w:rsidRDefault="00DF3A9D">
      <w:p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-  Cada expositor deberá exhibir en un lugar visible  la credencial oficial del evento.</w:t>
      </w:r>
    </w:p>
    <w:p w:rsidR="0010703B" w:rsidRDefault="00DF3A9D">
      <w:pPr>
        <w:spacing w:after="0" w:line="240" w:lineRule="auto"/>
        <w:jc w:val="both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D) Carga y descarga de Mercaderías:</w:t>
      </w:r>
    </w:p>
    <w:p w:rsidR="0010703B" w:rsidRDefault="00DF3A9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autorizara la carga y descarga de mercadería, todos los días del Festival, entre las 08:30 y las 09:30 horas.</w:t>
      </w:r>
    </w:p>
    <w:p w:rsidR="0010703B" w:rsidRDefault="00DF3A9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>
        <w:rPr>
          <w:sz w:val="24"/>
          <w:szCs w:val="24"/>
        </w:rPr>
        <w:t>se permitirá el tránsito de ningún tipo de vehículos al interior del recinto, fuera del horario establecido en el punto anterior, como una manera de resguardar la integridad y seguridad de los asistentes al Festival.</w:t>
      </w:r>
    </w:p>
    <w:p w:rsidR="0010703B" w:rsidRDefault="0010703B">
      <w:pPr>
        <w:spacing w:after="0" w:line="240" w:lineRule="auto"/>
        <w:jc w:val="both"/>
        <w:rPr>
          <w:b/>
          <w:color w:val="0F243E" w:themeColor="text2" w:themeShade="80"/>
          <w:sz w:val="24"/>
          <w:szCs w:val="24"/>
        </w:rPr>
      </w:pPr>
    </w:p>
    <w:p w:rsidR="0010703B" w:rsidRDefault="00DF3A9D">
      <w:p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E) Productos</w:t>
      </w:r>
      <w:r>
        <w:rPr>
          <w:color w:val="0F243E" w:themeColor="text2" w:themeShade="80"/>
          <w:sz w:val="24"/>
          <w:szCs w:val="24"/>
        </w:rPr>
        <w:t>:</w:t>
      </w:r>
    </w:p>
    <w:p w:rsidR="0010703B" w:rsidRDefault="00DF3A9D">
      <w:p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-   Los expositores solo</w:t>
      </w:r>
      <w:r>
        <w:rPr>
          <w:color w:val="0F243E" w:themeColor="text2" w:themeShade="80"/>
          <w:sz w:val="24"/>
          <w:szCs w:val="24"/>
        </w:rPr>
        <w:t xml:space="preserve"> podrán vender los productos con los cuales postularon, en caso contrario será clausurado en forma inmediata.</w:t>
      </w:r>
    </w:p>
    <w:p w:rsidR="0010703B" w:rsidRDefault="00DF3A9D">
      <w:p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- Los platos elaborados deberán venderse debidamente envasados, evitando su manipulación, cumpliendo con toda la normativa sanitaria, tales como c</w:t>
      </w:r>
      <w:r>
        <w:rPr>
          <w:color w:val="0F243E" w:themeColor="text2" w:themeShade="80"/>
          <w:sz w:val="24"/>
          <w:szCs w:val="24"/>
        </w:rPr>
        <w:t>adena de frío, transporte, manipulación, etc.</w:t>
      </w:r>
    </w:p>
    <w:p w:rsidR="0010703B" w:rsidRDefault="00DF3A9D">
      <w:p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-  Los productos criollos que se vendan para servirse al paso, deberán ser cocinados en parrillas </w:t>
      </w:r>
      <w:r>
        <w:rPr>
          <w:color w:val="0F243E" w:themeColor="text2" w:themeShade="80"/>
          <w:sz w:val="24"/>
          <w:szCs w:val="24"/>
        </w:rPr>
        <w:t>a gas</w:t>
      </w:r>
      <w:r>
        <w:rPr>
          <w:color w:val="0F243E" w:themeColor="text2" w:themeShade="80"/>
          <w:sz w:val="24"/>
          <w:szCs w:val="24"/>
        </w:rPr>
        <w:t>, manipulados con pinzas, evitando todo contacto que afecte su higiene.  Los expositores deberán tener  sto</w:t>
      </w:r>
      <w:r>
        <w:rPr>
          <w:color w:val="0F243E" w:themeColor="text2" w:themeShade="80"/>
          <w:sz w:val="24"/>
          <w:szCs w:val="24"/>
        </w:rPr>
        <w:t xml:space="preserve">ck  de productos para la venta durante los cuatro días que dure el evento. </w:t>
      </w:r>
    </w:p>
    <w:p w:rsidR="0010703B" w:rsidRDefault="0010703B">
      <w:pPr>
        <w:spacing w:after="0" w:line="240" w:lineRule="auto"/>
        <w:jc w:val="both"/>
        <w:rPr>
          <w:b/>
          <w:color w:val="0F243E" w:themeColor="text2" w:themeShade="80"/>
          <w:sz w:val="24"/>
          <w:szCs w:val="24"/>
        </w:rPr>
      </w:pPr>
    </w:p>
    <w:p w:rsidR="0010703B" w:rsidRDefault="00DF3A9D">
      <w:pPr>
        <w:spacing w:after="0" w:line="240" w:lineRule="auto"/>
        <w:jc w:val="both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F) Responsabilidad Ambiental</w:t>
      </w:r>
    </w:p>
    <w:p w:rsidR="0010703B" w:rsidRDefault="00DF3A9D">
      <w:pPr>
        <w:spacing w:after="0" w:line="240" w:lineRule="auto"/>
        <w:jc w:val="both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- La Organización y Directorio del Festival Costumbrista de Los Andes, en compromiso con las políticas ambientales y de acuerdo a la legislación vigen</w:t>
      </w:r>
      <w:r>
        <w:rPr>
          <w:b/>
          <w:color w:val="0F243E" w:themeColor="text2" w:themeShade="80"/>
          <w:sz w:val="24"/>
          <w:szCs w:val="24"/>
        </w:rPr>
        <w:t>te, solicita a todos los expositores el “NO USO DE BOLSAS PLASTICAS DURANTE EL EVENTO”</w:t>
      </w:r>
      <w:r>
        <w:rPr>
          <w:b/>
          <w:color w:val="0F243E" w:themeColor="text2" w:themeShade="80"/>
          <w:sz w:val="24"/>
          <w:szCs w:val="24"/>
        </w:rPr>
        <w:t>, Se sugiere a los expositores el uso de envases retornables, de papel y biodegradable</w:t>
      </w:r>
    </w:p>
    <w:p w:rsidR="0010703B" w:rsidRDefault="00DF3A9D">
      <w:pPr>
        <w:spacing w:after="0" w:line="240" w:lineRule="auto"/>
        <w:jc w:val="both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G) Responsabilidad de la instalación.</w:t>
      </w:r>
    </w:p>
    <w:p w:rsidR="0010703B" w:rsidRDefault="00DF3A9D">
      <w:pPr>
        <w:spacing w:after="0" w:line="240" w:lineRule="auto"/>
        <w:jc w:val="both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-Para poder proceder a la instalación, cada p</w:t>
      </w:r>
      <w:r>
        <w:rPr>
          <w:b/>
          <w:color w:val="0F243E" w:themeColor="text2" w:themeShade="80"/>
          <w:sz w:val="24"/>
          <w:szCs w:val="24"/>
        </w:rPr>
        <w:t>ostulante al momento de la presentación al recinto lo deberá hacer con la documentación legal requerida.</w:t>
      </w:r>
    </w:p>
    <w:p w:rsidR="0010703B" w:rsidRDefault="00DF3A9D">
      <w:pPr>
        <w:spacing w:after="0" w:line="240" w:lineRule="auto"/>
        <w:jc w:val="both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1.  Notificación ante la autoridad Sanitaria de Los Andes.</w:t>
      </w:r>
    </w:p>
    <w:p w:rsidR="0010703B" w:rsidRDefault="00DF3A9D">
      <w:pPr>
        <w:spacing w:after="0" w:line="240" w:lineRule="auto"/>
        <w:jc w:val="both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1.2 Certificado de la tasación tributaria si corresponde. </w:t>
      </w:r>
    </w:p>
    <w:p w:rsidR="0010703B" w:rsidRDefault="0010703B">
      <w:pPr>
        <w:jc w:val="center"/>
        <w:rPr>
          <w:b/>
          <w:color w:val="0F243E" w:themeColor="text2" w:themeShade="80"/>
          <w:sz w:val="32"/>
          <w:szCs w:val="32"/>
          <w:u w:val="single"/>
        </w:rPr>
      </w:pPr>
    </w:p>
    <w:p w:rsidR="0010703B" w:rsidRDefault="0010703B">
      <w:pPr>
        <w:jc w:val="center"/>
        <w:rPr>
          <w:b/>
          <w:color w:val="0F243E" w:themeColor="text2" w:themeShade="80"/>
          <w:sz w:val="32"/>
          <w:szCs w:val="32"/>
          <w:u w:val="single"/>
        </w:rPr>
      </w:pPr>
    </w:p>
    <w:p w:rsidR="0010703B" w:rsidRDefault="00DF3A9D">
      <w:pPr>
        <w:jc w:val="center"/>
        <w:rPr>
          <w:b/>
          <w:color w:val="0F243E" w:themeColor="text2" w:themeShade="80"/>
          <w:sz w:val="32"/>
          <w:szCs w:val="32"/>
          <w:u w:val="single"/>
        </w:rPr>
      </w:pPr>
      <w:r>
        <w:rPr>
          <w:b/>
          <w:color w:val="0F243E" w:themeColor="text2" w:themeShade="80"/>
          <w:sz w:val="32"/>
          <w:szCs w:val="32"/>
          <w:u w:val="single"/>
        </w:rPr>
        <w:t xml:space="preserve">LA COMISIÓN ORGANIZADORA SE </w:t>
      </w:r>
      <w:r>
        <w:rPr>
          <w:b/>
          <w:color w:val="0F243E" w:themeColor="text2" w:themeShade="80"/>
          <w:sz w:val="32"/>
          <w:szCs w:val="32"/>
          <w:u w:val="single"/>
        </w:rPr>
        <w:t>RESERVA EL DERECHO DE ADMISION</w:t>
      </w:r>
    </w:p>
    <w:p w:rsidR="0010703B" w:rsidRDefault="0010703B">
      <w:pPr>
        <w:jc w:val="center"/>
        <w:rPr>
          <w:b/>
          <w:color w:val="0F243E" w:themeColor="text2" w:themeShade="80"/>
          <w:sz w:val="32"/>
          <w:szCs w:val="32"/>
          <w:u w:val="single"/>
        </w:rPr>
      </w:pPr>
    </w:p>
    <w:p w:rsidR="0010703B" w:rsidRDefault="0010703B">
      <w:pPr>
        <w:jc w:val="center"/>
        <w:rPr>
          <w:b/>
          <w:color w:val="0F243E" w:themeColor="text2" w:themeShade="80"/>
          <w:sz w:val="32"/>
          <w:szCs w:val="32"/>
          <w:u w:val="single"/>
        </w:rPr>
      </w:pPr>
    </w:p>
    <w:p w:rsidR="0010703B" w:rsidRDefault="00DF3A9D">
      <w:pPr>
        <w:jc w:val="center"/>
        <w:rPr>
          <w:b/>
          <w:color w:val="0F243E" w:themeColor="text2" w:themeShade="80"/>
          <w:sz w:val="32"/>
          <w:szCs w:val="32"/>
          <w:u w:val="single"/>
        </w:rPr>
      </w:pPr>
      <w:r>
        <w:rPr>
          <w:b/>
          <w:color w:val="0F243E" w:themeColor="text2" w:themeShade="80"/>
          <w:sz w:val="32"/>
          <w:szCs w:val="32"/>
          <w:u w:val="single"/>
        </w:rPr>
        <w:t>FICHA DE POSTULACION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10703B">
        <w:tc>
          <w:tcPr>
            <w:tcW w:w="2802" w:type="dxa"/>
          </w:tcPr>
          <w:p w:rsidR="0010703B" w:rsidRDefault="00DF3A9D">
            <w:pPr>
              <w:spacing w:after="0" w:line="24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NOMBRE</w:t>
            </w:r>
          </w:p>
        </w:tc>
        <w:tc>
          <w:tcPr>
            <w:tcW w:w="6176" w:type="dxa"/>
          </w:tcPr>
          <w:p w:rsidR="0010703B" w:rsidRDefault="0010703B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</w:tr>
      <w:tr w:rsidR="0010703B">
        <w:tc>
          <w:tcPr>
            <w:tcW w:w="2802" w:type="dxa"/>
          </w:tcPr>
          <w:p w:rsidR="0010703B" w:rsidRDefault="00DF3A9D">
            <w:pPr>
              <w:spacing w:after="0" w:line="24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RUT</w:t>
            </w:r>
          </w:p>
        </w:tc>
        <w:tc>
          <w:tcPr>
            <w:tcW w:w="6176" w:type="dxa"/>
          </w:tcPr>
          <w:p w:rsidR="0010703B" w:rsidRDefault="0010703B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32"/>
                <w:szCs w:val="32"/>
                <w:u w:val="single"/>
              </w:rPr>
            </w:pPr>
          </w:p>
        </w:tc>
      </w:tr>
      <w:tr w:rsidR="0010703B">
        <w:tc>
          <w:tcPr>
            <w:tcW w:w="2802" w:type="dxa"/>
          </w:tcPr>
          <w:p w:rsidR="0010703B" w:rsidRDefault="00DF3A9D">
            <w:pPr>
              <w:spacing w:after="0" w:line="24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DOMICILIO</w:t>
            </w:r>
          </w:p>
        </w:tc>
        <w:tc>
          <w:tcPr>
            <w:tcW w:w="6176" w:type="dxa"/>
          </w:tcPr>
          <w:p w:rsidR="0010703B" w:rsidRDefault="0010703B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32"/>
                <w:szCs w:val="32"/>
                <w:u w:val="single"/>
              </w:rPr>
            </w:pPr>
          </w:p>
        </w:tc>
      </w:tr>
      <w:tr w:rsidR="0010703B">
        <w:tc>
          <w:tcPr>
            <w:tcW w:w="2802" w:type="dxa"/>
          </w:tcPr>
          <w:p w:rsidR="0010703B" w:rsidRDefault="00DF3A9D">
            <w:pPr>
              <w:spacing w:after="0" w:line="24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TELEFONO</w:t>
            </w:r>
          </w:p>
        </w:tc>
        <w:tc>
          <w:tcPr>
            <w:tcW w:w="6176" w:type="dxa"/>
          </w:tcPr>
          <w:p w:rsidR="0010703B" w:rsidRDefault="0010703B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32"/>
                <w:szCs w:val="32"/>
                <w:u w:val="single"/>
              </w:rPr>
            </w:pPr>
          </w:p>
        </w:tc>
      </w:tr>
      <w:tr w:rsidR="0010703B">
        <w:tc>
          <w:tcPr>
            <w:tcW w:w="2802" w:type="dxa"/>
          </w:tcPr>
          <w:p w:rsidR="0010703B" w:rsidRDefault="00DF3A9D">
            <w:pPr>
              <w:spacing w:after="0" w:line="24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CORREO ELECTRONICO</w:t>
            </w:r>
          </w:p>
        </w:tc>
        <w:tc>
          <w:tcPr>
            <w:tcW w:w="6176" w:type="dxa"/>
          </w:tcPr>
          <w:p w:rsidR="0010703B" w:rsidRDefault="0010703B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32"/>
                <w:szCs w:val="32"/>
                <w:u w:val="single"/>
              </w:rPr>
            </w:pPr>
          </w:p>
        </w:tc>
      </w:tr>
      <w:tr w:rsidR="0010703B">
        <w:trPr>
          <w:trHeight w:val="1603"/>
        </w:trPr>
        <w:tc>
          <w:tcPr>
            <w:tcW w:w="2802" w:type="dxa"/>
          </w:tcPr>
          <w:p w:rsidR="0010703B" w:rsidRDefault="0010703B">
            <w:pPr>
              <w:spacing w:after="0" w:line="24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10703B" w:rsidRDefault="00DF3A9D">
            <w:pPr>
              <w:spacing w:after="0" w:line="24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PRODUCTOS QUE COMERCIALIZARA</w:t>
            </w:r>
          </w:p>
          <w:p w:rsidR="0010703B" w:rsidRDefault="0010703B">
            <w:pPr>
              <w:spacing w:after="0" w:line="24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10703B" w:rsidRDefault="0010703B">
            <w:pPr>
              <w:spacing w:after="0" w:line="24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10703B" w:rsidRDefault="0010703B">
            <w:pPr>
              <w:spacing w:after="0" w:line="24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10703B" w:rsidRDefault="0010703B">
            <w:pPr>
              <w:spacing w:after="0" w:line="24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176" w:type="dxa"/>
          </w:tcPr>
          <w:p w:rsidR="0010703B" w:rsidRDefault="00DF3A9D">
            <w:pPr>
              <w:spacing w:after="0" w:line="240" w:lineRule="auto"/>
              <w:rPr>
                <w:b/>
                <w:color w:val="0F243E" w:themeColor="text2" w:themeShade="80"/>
                <w:sz w:val="20"/>
                <w:szCs w:val="20"/>
                <w:u w:val="single"/>
              </w:rPr>
            </w:pPr>
            <w:r>
              <w:rPr>
                <w:b/>
                <w:color w:val="0F243E" w:themeColor="text2" w:themeShade="80"/>
                <w:sz w:val="20"/>
                <w:szCs w:val="20"/>
                <w:u w:val="single"/>
              </w:rPr>
              <w:t xml:space="preserve">Detalle de los productos </w:t>
            </w:r>
            <w:r>
              <w:rPr>
                <w:b/>
                <w:color w:val="0F243E" w:themeColor="text2" w:themeShade="80"/>
                <w:sz w:val="20"/>
                <w:szCs w:val="20"/>
                <w:u w:val="single"/>
              </w:rPr>
              <w:t xml:space="preserve">con </w:t>
            </w:r>
            <w:r>
              <w:rPr>
                <w:b/>
                <w:color w:val="0F243E" w:themeColor="text2" w:themeShade="80"/>
                <w:sz w:val="20"/>
                <w:szCs w:val="20"/>
                <w:u w:val="single"/>
              </w:rPr>
              <w:t xml:space="preserve">que </w:t>
            </w:r>
            <w:r>
              <w:rPr>
                <w:b/>
                <w:color w:val="0F243E" w:themeColor="text2" w:themeShade="80"/>
                <w:sz w:val="20"/>
                <w:szCs w:val="20"/>
                <w:u w:val="single"/>
              </w:rPr>
              <w:t>postula</w:t>
            </w:r>
          </w:p>
          <w:p w:rsidR="0010703B" w:rsidRDefault="0010703B">
            <w:pPr>
              <w:spacing w:after="0" w:line="240" w:lineRule="auto"/>
              <w:rPr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  <w:p w:rsidR="0010703B" w:rsidRDefault="0010703B">
            <w:pPr>
              <w:spacing w:after="0" w:line="240" w:lineRule="auto"/>
              <w:rPr>
                <w:b/>
                <w:color w:val="0F243E" w:themeColor="text2" w:themeShade="80"/>
                <w:sz w:val="20"/>
                <w:szCs w:val="20"/>
                <w:u w:val="single"/>
              </w:rPr>
            </w:pPr>
          </w:p>
        </w:tc>
      </w:tr>
      <w:tr w:rsidR="0010703B">
        <w:trPr>
          <w:trHeight w:val="384"/>
        </w:trPr>
        <w:tc>
          <w:tcPr>
            <w:tcW w:w="2802" w:type="dxa"/>
          </w:tcPr>
          <w:p w:rsidR="0010703B" w:rsidRDefault="00DF3A9D">
            <w:pPr>
              <w:spacing w:after="0" w:line="24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NOMBRE COMERCIAL</w:t>
            </w:r>
          </w:p>
        </w:tc>
        <w:tc>
          <w:tcPr>
            <w:tcW w:w="6176" w:type="dxa"/>
          </w:tcPr>
          <w:p w:rsidR="0010703B" w:rsidRDefault="0010703B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</w:tr>
      <w:tr w:rsidR="0010703B">
        <w:tc>
          <w:tcPr>
            <w:tcW w:w="2802" w:type="dxa"/>
          </w:tcPr>
          <w:p w:rsidR="0010703B" w:rsidRDefault="00DF3A9D">
            <w:pPr>
              <w:spacing w:after="0" w:line="240" w:lineRule="auto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RESPONSABLES DEL MODULO (DOS PERSONAS)</w:t>
            </w:r>
          </w:p>
          <w:p w:rsidR="0010703B" w:rsidRDefault="0010703B">
            <w:pPr>
              <w:spacing w:after="0" w:line="240" w:lineRule="auto"/>
              <w:rPr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176" w:type="dxa"/>
          </w:tcPr>
          <w:p w:rsidR="0010703B" w:rsidRDefault="0010703B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32"/>
                <w:szCs w:val="32"/>
              </w:rPr>
            </w:pPr>
          </w:p>
        </w:tc>
      </w:tr>
    </w:tbl>
    <w:p w:rsidR="0010703B" w:rsidRDefault="0010703B">
      <w:pPr>
        <w:pStyle w:val="Prrafodelista"/>
        <w:ind w:left="360"/>
        <w:rPr>
          <w:color w:val="0F243E" w:themeColor="text2" w:themeShade="80"/>
          <w:sz w:val="24"/>
          <w:szCs w:val="24"/>
        </w:rPr>
      </w:pPr>
    </w:p>
    <w:p w:rsidR="0010703B" w:rsidRDefault="00DF3A9D">
      <w:pPr>
        <w:pStyle w:val="Prrafodelista"/>
        <w:numPr>
          <w:ilvl w:val="0"/>
          <w:numId w:val="4"/>
        </w:num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Adicionalmente en forma física se debe adjuntar obligatoriamente la documentación que respalde esta información.</w:t>
      </w:r>
    </w:p>
    <w:p w:rsidR="0010703B" w:rsidRDefault="00DF3A9D">
      <w:pPr>
        <w:pStyle w:val="Prrafodelista"/>
        <w:numPr>
          <w:ilvl w:val="0"/>
          <w:numId w:val="4"/>
        </w:num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Fotocopia de la CI.</w:t>
      </w:r>
    </w:p>
    <w:p w:rsidR="0010703B" w:rsidRDefault="00DF3A9D">
      <w:pPr>
        <w:pStyle w:val="Prrafodelista"/>
        <w:numPr>
          <w:ilvl w:val="0"/>
          <w:numId w:val="4"/>
        </w:num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Copia de la patente o permiso y de la iniciación de actividades, si las posee. </w:t>
      </w:r>
    </w:p>
    <w:p w:rsidR="0010703B" w:rsidRDefault="00DF3A9D">
      <w:pPr>
        <w:pStyle w:val="Prrafodelista"/>
        <w:numPr>
          <w:ilvl w:val="0"/>
          <w:numId w:val="4"/>
        </w:num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Agregar registro visual (fotografías)  de l</w:t>
      </w:r>
      <w:r>
        <w:rPr>
          <w:color w:val="0F243E" w:themeColor="text2" w:themeShade="80"/>
          <w:sz w:val="24"/>
          <w:szCs w:val="24"/>
        </w:rPr>
        <w:t>os productos con los que postula (este material no se devuelve).</w:t>
      </w:r>
    </w:p>
    <w:p w:rsidR="0010703B" w:rsidRDefault="0010703B">
      <w:pPr>
        <w:pStyle w:val="Prrafodelista"/>
        <w:ind w:left="0"/>
        <w:rPr>
          <w:color w:val="0F243E" w:themeColor="text2" w:themeShade="8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7877"/>
      </w:tblGrid>
      <w:tr w:rsidR="0010703B">
        <w:trPr>
          <w:trHeight w:val="743"/>
        </w:trPr>
        <w:tc>
          <w:tcPr>
            <w:tcW w:w="1101" w:type="dxa"/>
          </w:tcPr>
          <w:p w:rsidR="0010703B" w:rsidRDefault="00DF3A9D">
            <w:pPr>
              <w:spacing w:after="0" w:line="240" w:lineRule="auto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FECH</w:t>
            </w:r>
            <w:r>
              <w:rPr>
                <w:color w:val="0F243E" w:themeColor="text2" w:themeShade="80"/>
                <w:sz w:val="24"/>
                <w:szCs w:val="24"/>
              </w:rPr>
              <w:t>A</w:t>
            </w:r>
          </w:p>
        </w:tc>
        <w:tc>
          <w:tcPr>
            <w:tcW w:w="7877" w:type="dxa"/>
          </w:tcPr>
          <w:p w:rsidR="0010703B" w:rsidRDefault="00DF3A9D">
            <w:pPr>
              <w:spacing w:after="0" w:line="240" w:lineRule="auto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DIA:                       MES:                                AÑO:</w:t>
            </w:r>
          </w:p>
        </w:tc>
      </w:tr>
    </w:tbl>
    <w:p w:rsidR="0010703B" w:rsidRDefault="0010703B">
      <w:pPr>
        <w:jc w:val="center"/>
        <w:rPr>
          <w:rFonts w:ascii="Arial" w:hAnsi="Arial" w:cs="Arial"/>
          <w:b/>
          <w:color w:val="0F243E" w:themeColor="text2" w:themeShade="80"/>
          <w:sz w:val="32"/>
          <w:szCs w:val="32"/>
          <w:u w:val="single"/>
        </w:rPr>
      </w:pPr>
      <w:bookmarkStart w:id="0" w:name="_GoBack"/>
      <w:bookmarkEnd w:id="0"/>
    </w:p>
    <w:sectPr w:rsidR="0010703B">
      <w:headerReference w:type="default" r:id="rId10"/>
      <w:footerReference w:type="default" r:id="rId11"/>
      <w:pgSz w:w="12240" w:h="15840"/>
      <w:pgMar w:top="7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3B" w:rsidRDefault="00DF3A9D">
      <w:pPr>
        <w:spacing w:line="240" w:lineRule="auto"/>
      </w:pPr>
      <w:r>
        <w:separator/>
      </w:r>
    </w:p>
  </w:endnote>
  <w:endnote w:type="continuationSeparator" w:id="0">
    <w:p w:rsidR="0010703B" w:rsidRDefault="00DF3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826867"/>
    </w:sdtPr>
    <w:sdtEndPr/>
    <w:sdtContent>
      <w:p w:rsidR="0010703B" w:rsidRDefault="00DF3A9D">
        <w:pPr>
          <w:pStyle w:val="Piedepgina"/>
          <w:jc w:val="right"/>
        </w:pPr>
        <w:r>
          <w:t>CIEN AÑOS DE LA RADIO EN CHILE Y UN HOMENAJE POSTUMO A VITOCO ACEVEDO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3B" w:rsidRDefault="00DF3A9D">
      <w:pPr>
        <w:spacing w:after="0"/>
      </w:pPr>
      <w:r>
        <w:separator/>
      </w:r>
    </w:p>
  </w:footnote>
  <w:footnote w:type="continuationSeparator" w:id="0">
    <w:p w:rsidR="0010703B" w:rsidRDefault="00DF3A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3B" w:rsidRDefault="00DF3A9D">
    <w:pPr>
      <w:pStyle w:val="Encabezado"/>
    </w:pPr>
    <w:r>
      <w:t xml:space="preserve"> </w:t>
    </w:r>
    <w:r>
      <w:rPr>
        <w:noProof/>
      </w:rPr>
      <w:drawing>
        <wp:inline distT="0" distB="0" distL="0" distR="0">
          <wp:extent cx="838200" cy="962025"/>
          <wp:effectExtent l="0" t="0" r="0" b="9525"/>
          <wp:docPr id="1" name="Imagen 1" descr="C:\Users\Bernardo\Desktop\VITO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Bernardo\Desktop\VITO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lang w:val="es-MX"/>
      </w:rPr>
      <w:t xml:space="preserve">                 </w:t>
    </w:r>
    <w:r>
      <w:rPr>
        <w:noProof/>
      </w:rPr>
      <w:drawing>
        <wp:inline distT="0" distB="0" distL="0" distR="0">
          <wp:extent cx="1485265" cy="1019810"/>
          <wp:effectExtent l="0" t="0" r="635" b="889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265" cy="1019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s-MX" w:eastAsia="es-ES"/>
      </w:rPr>
      <w:t xml:space="preserve">  </w:t>
    </w:r>
    <w:r>
      <w:rPr>
        <w:lang w:val="es-MX"/>
      </w:rPr>
      <w:t xml:space="preserve">     </w:t>
    </w:r>
    <w:r>
      <w:t xml:space="preserve">                        </w:t>
    </w:r>
    <w:r>
      <w:rPr>
        <w:noProof/>
      </w:rPr>
      <w:drawing>
        <wp:inline distT="0" distB="0" distL="0" distR="0">
          <wp:extent cx="971550" cy="895350"/>
          <wp:effectExtent l="0" t="0" r="0" b="0"/>
          <wp:docPr id="4" name="Imagen 4" descr="enriquesazie – Enrique Sazie Herrera (1897-198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enriquesazie – Enrique Sazie Herrera (1897-1988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10703B" w:rsidRDefault="0010703B">
    <w:pPr>
      <w:tabs>
        <w:tab w:val="left" w:pos="2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11.25pt;height:11.25pt" o:bullet="t">
        <v:imagedata r:id="rId1" o:title=""/>
      </v:shape>
    </w:pict>
  </w:numPicBullet>
  <w:abstractNum w:abstractNumId="0">
    <w:nsid w:val="35FB2105"/>
    <w:multiLevelType w:val="multilevel"/>
    <w:tmpl w:val="35FB21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D0B0628"/>
    <w:multiLevelType w:val="multilevel"/>
    <w:tmpl w:val="3D0B0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C7E0D7F"/>
    <w:multiLevelType w:val="multilevel"/>
    <w:tmpl w:val="5C7E0D7F"/>
    <w:lvl w:ilvl="0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C247E4C"/>
    <w:multiLevelType w:val="multilevel"/>
    <w:tmpl w:val="6C247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C6"/>
    <w:rsid w:val="000020DB"/>
    <w:rsid w:val="00002477"/>
    <w:rsid w:val="00023F55"/>
    <w:rsid w:val="000460DB"/>
    <w:rsid w:val="000467E9"/>
    <w:rsid w:val="00057CF8"/>
    <w:rsid w:val="00060F40"/>
    <w:rsid w:val="00061E3C"/>
    <w:rsid w:val="00066B4E"/>
    <w:rsid w:val="00084916"/>
    <w:rsid w:val="00087D7F"/>
    <w:rsid w:val="00091090"/>
    <w:rsid w:val="000A7E02"/>
    <w:rsid w:val="000B0764"/>
    <w:rsid w:val="000C349E"/>
    <w:rsid w:val="000E725B"/>
    <w:rsid w:val="000E7B67"/>
    <w:rsid w:val="000F2335"/>
    <w:rsid w:val="0010703B"/>
    <w:rsid w:val="0013029F"/>
    <w:rsid w:val="00141859"/>
    <w:rsid w:val="00176063"/>
    <w:rsid w:val="00191039"/>
    <w:rsid w:val="00192482"/>
    <w:rsid w:val="001A059C"/>
    <w:rsid w:val="001B4CE8"/>
    <w:rsid w:val="001C29C8"/>
    <w:rsid w:val="001C3718"/>
    <w:rsid w:val="001C4438"/>
    <w:rsid w:val="001C6509"/>
    <w:rsid w:val="001D0A82"/>
    <w:rsid w:val="001D2C06"/>
    <w:rsid w:val="00214A85"/>
    <w:rsid w:val="00243711"/>
    <w:rsid w:val="002557FA"/>
    <w:rsid w:val="0027386B"/>
    <w:rsid w:val="00294956"/>
    <w:rsid w:val="00297727"/>
    <w:rsid w:val="002B517A"/>
    <w:rsid w:val="002B54D3"/>
    <w:rsid w:val="002D6C1F"/>
    <w:rsid w:val="002F3C29"/>
    <w:rsid w:val="0033353A"/>
    <w:rsid w:val="003338EB"/>
    <w:rsid w:val="0034254F"/>
    <w:rsid w:val="00363C2E"/>
    <w:rsid w:val="003855AA"/>
    <w:rsid w:val="003C490F"/>
    <w:rsid w:val="003D6C99"/>
    <w:rsid w:val="003E262C"/>
    <w:rsid w:val="003E2701"/>
    <w:rsid w:val="003F5D82"/>
    <w:rsid w:val="003F69FB"/>
    <w:rsid w:val="0041584E"/>
    <w:rsid w:val="004363C6"/>
    <w:rsid w:val="0047338E"/>
    <w:rsid w:val="00485496"/>
    <w:rsid w:val="004B5946"/>
    <w:rsid w:val="004B7C04"/>
    <w:rsid w:val="004C00B1"/>
    <w:rsid w:val="004D7B01"/>
    <w:rsid w:val="004E2A8D"/>
    <w:rsid w:val="004E4967"/>
    <w:rsid w:val="004F18D4"/>
    <w:rsid w:val="004F4B08"/>
    <w:rsid w:val="004F693D"/>
    <w:rsid w:val="004F7E5F"/>
    <w:rsid w:val="004F7FA4"/>
    <w:rsid w:val="00507D53"/>
    <w:rsid w:val="00524862"/>
    <w:rsid w:val="00532E12"/>
    <w:rsid w:val="00536D3D"/>
    <w:rsid w:val="00543ACD"/>
    <w:rsid w:val="00554207"/>
    <w:rsid w:val="00555267"/>
    <w:rsid w:val="005805C2"/>
    <w:rsid w:val="00596FAA"/>
    <w:rsid w:val="005B2CB5"/>
    <w:rsid w:val="005D08D7"/>
    <w:rsid w:val="005D43A7"/>
    <w:rsid w:val="005D5817"/>
    <w:rsid w:val="005E3B73"/>
    <w:rsid w:val="005E5734"/>
    <w:rsid w:val="006106E7"/>
    <w:rsid w:val="00612BAC"/>
    <w:rsid w:val="00615C2A"/>
    <w:rsid w:val="00624D0B"/>
    <w:rsid w:val="00635393"/>
    <w:rsid w:val="00637CC6"/>
    <w:rsid w:val="00657972"/>
    <w:rsid w:val="0066051A"/>
    <w:rsid w:val="00660784"/>
    <w:rsid w:val="00667A49"/>
    <w:rsid w:val="0067141A"/>
    <w:rsid w:val="0067643C"/>
    <w:rsid w:val="006A76C3"/>
    <w:rsid w:val="006C2DD7"/>
    <w:rsid w:val="006D59FC"/>
    <w:rsid w:val="006E1FAF"/>
    <w:rsid w:val="006E2DCF"/>
    <w:rsid w:val="006E6C04"/>
    <w:rsid w:val="006F1EC4"/>
    <w:rsid w:val="00717D25"/>
    <w:rsid w:val="00720EC4"/>
    <w:rsid w:val="007251B4"/>
    <w:rsid w:val="00727866"/>
    <w:rsid w:val="00732958"/>
    <w:rsid w:val="00734833"/>
    <w:rsid w:val="007532DA"/>
    <w:rsid w:val="00760BC0"/>
    <w:rsid w:val="00770657"/>
    <w:rsid w:val="00773BDC"/>
    <w:rsid w:val="007843D4"/>
    <w:rsid w:val="007A0D86"/>
    <w:rsid w:val="007C27AD"/>
    <w:rsid w:val="007C42A8"/>
    <w:rsid w:val="007C47AD"/>
    <w:rsid w:val="007C5AE4"/>
    <w:rsid w:val="007C78FD"/>
    <w:rsid w:val="007D5035"/>
    <w:rsid w:val="007D6CE3"/>
    <w:rsid w:val="007F379F"/>
    <w:rsid w:val="007F5B3A"/>
    <w:rsid w:val="007F6863"/>
    <w:rsid w:val="00804DE4"/>
    <w:rsid w:val="00853A94"/>
    <w:rsid w:val="00867580"/>
    <w:rsid w:val="00892195"/>
    <w:rsid w:val="0089749E"/>
    <w:rsid w:val="008B2098"/>
    <w:rsid w:val="008B21A3"/>
    <w:rsid w:val="008B3985"/>
    <w:rsid w:val="008C138D"/>
    <w:rsid w:val="008D16C5"/>
    <w:rsid w:val="008D363C"/>
    <w:rsid w:val="008F4997"/>
    <w:rsid w:val="008F5EA7"/>
    <w:rsid w:val="00900982"/>
    <w:rsid w:val="00906125"/>
    <w:rsid w:val="009154C9"/>
    <w:rsid w:val="00930CAD"/>
    <w:rsid w:val="00965B39"/>
    <w:rsid w:val="00965CF3"/>
    <w:rsid w:val="00977241"/>
    <w:rsid w:val="009A44FA"/>
    <w:rsid w:val="009B1D7A"/>
    <w:rsid w:val="009B589B"/>
    <w:rsid w:val="009C2447"/>
    <w:rsid w:val="009C71F2"/>
    <w:rsid w:val="009D2580"/>
    <w:rsid w:val="009D4C56"/>
    <w:rsid w:val="009E06D4"/>
    <w:rsid w:val="009F003C"/>
    <w:rsid w:val="009F6A3D"/>
    <w:rsid w:val="00A01855"/>
    <w:rsid w:val="00A5198F"/>
    <w:rsid w:val="00A73D6B"/>
    <w:rsid w:val="00A77E78"/>
    <w:rsid w:val="00A8504C"/>
    <w:rsid w:val="00A901CD"/>
    <w:rsid w:val="00AB1D60"/>
    <w:rsid w:val="00AE0C3A"/>
    <w:rsid w:val="00AE64D5"/>
    <w:rsid w:val="00AE7483"/>
    <w:rsid w:val="00AF45C2"/>
    <w:rsid w:val="00B17A40"/>
    <w:rsid w:val="00B37FBD"/>
    <w:rsid w:val="00B57E64"/>
    <w:rsid w:val="00B602F3"/>
    <w:rsid w:val="00B843F9"/>
    <w:rsid w:val="00B860E3"/>
    <w:rsid w:val="00B91FCA"/>
    <w:rsid w:val="00BA79D6"/>
    <w:rsid w:val="00BB1C95"/>
    <w:rsid w:val="00BB4F9B"/>
    <w:rsid w:val="00BC6A44"/>
    <w:rsid w:val="00BD7878"/>
    <w:rsid w:val="00BE54EC"/>
    <w:rsid w:val="00BE76D0"/>
    <w:rsid w:val="00C042F8"/>
    <w:rsid w:val="00C114CC"/>
    <w:rsid w:val="00C1223E"/>
    <w:rsid w:val="00C20094"/>
    <w:rsid w:val="00C22721"/>
    <w:rsid w:val="00C24846"/>
    <w:rsid w:val="00C4536D"/>
    <w:rsid w:val="00C54807"/>
    <w:rsid w:val="00C62C98"/>
    <w:rsid w:val="00C71549"/>
    <w:rsid w:val="00CA7475"/>
    <w:rsid w:val="00CC7C2E"/>
    <w:rsid w:val="00D13EBB"/>
    <w:rsid w:val="00D20CBE"/>
    <w:rsid w:val="00D51A1D"/>
    <w:rsid w:val="00D62833"/>
    <w:rsid w:val="00D75004"/>
    <w:rsid w:val="00DB64F5"/>
    <w:rsid w:val="00DC0A1F"/>
    <w:rsid w:val="00DD3DB0"/>
    <w:rsid w:val="00DD4BE0"/>
    <w:rsid w:val="00DF01D0"/>
    <w:rsid w:val="00DF3A9D"/>
    <w:rsid w:val="00E06D22"/>
    <w:rsid w:val="00E16A2B"/>
    <w:rsid w:val="00E332E2"/>
    <w:rsid w:val="00E44CB8"/>
    <w:rsid w:val="00E4675B"/>
    <w:rsid w:val="00E47180"/>
    <w:rsid w:val="00E52522"/>
    <w:rsid w:val="00E5348C"/>
    <w:rsid w:val="00E60A24"/>
    <w:rsid w:val="00E667EB"/>
    <w:rsid w:val="00E67895"/>
    <w:rsid w:val="00EA0D01"/>
    <w:rsid w:val="00EB7A9E"/>
    <w:rsid w:val="00EC264D"/>
    <w:rsid w:val="00EC7EA1"/>
    <w:rsid w:val="00ED61D5"/>
    <w:rsid w:val="00ED7899"/>
    <w:rsid w:val="00EE4864"/>
    <w:rsid w:val="00EE51E3"/>
    <w:rsid w:val="00EE783A"/>
    <w:rsid w:val="00EF4DBB"/>
    <w:rsid w:val="00F3089A"/>
    <w:rsid w:val="00F51606"/>
    <w:rsid w:val="00F52922"/>
    <w:rsid w:val="00F55E76"/>
    <w:rsid w:val="00F6623F"/>
    <w:rsid w:val="00F67331"/>
    <w:rsid w:val="00F75254"/>
    <w:rsid w:val="00F83624"/>
    <w:rsid w:val="00F90369"/>
    <w:rsid w:val="00F963D3"/>
    <w:rsid w:val="00FA0373"/>
    <w:rsid w:val="00FB78B7"/>
    <w:rsid w:val="00FC5242"/>
    <w:rsid w:val="00FE25CA"/>
    <w:rsid w:val="00FF0016"/>
    <w:rsid w:val="00FF5BB6"/>
    <w:rsid w:val="05E47E62"/>
    <w:rsid w:val="251A17E4"/>
    <w:rsid w:val="4EFA5D42"/>
    <w:rsid w:val="5D6A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stivalcostumbristalosandes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4578-035F-405E-A152-E0F3BE17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1356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I.Municipalidad Los Andes</cp:lastModifiedBy>
  <cp:revision>2</cp:revision>
  <cp:lastPrinted>2018-08-06T22:27:00Z</cp:lastPrinted>
  <dcterms:created xsi:type="dcterms:W3CDTF">2022-10-08T07:00:00Z</dcterms:created>
  <dcterms:modified xsi:type="dcterms:W3CDTF">2022-10-08T07:00:00Z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3082-11.2.0.11341</vt:lpwstr>
  </property>
  <property fmtid="{D5CDD505-2E9C-101B-9397-08002B2CF9AE}" pid="3" name="ICV">
    <vt:lpwstr>408385D347754C9B95040C188D5B35EF</vt:lpwstr>
  </property>
</Properties>
</file>