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001B6B">
      <w:pPr>
        <w:jc w:val="center"/>
        <w:rPr>
          <w:b/>
          <w:sz w:val="28"/>
          <w:szCs w:val="28"/>
          <w:lang w:val="es-MX"/>
        </w:rPr>
      </w:pPr>
      <w:r>
        <w:rPr>
          <w:b/>
          <w:sz w:val="28"/>
          <w:szCs w:val="28"/>
          <w:lang w:val="es-MX"/>
        </w:rPr>
        <w:t xml:space="preserve">XIV </w:t>
      </w:r>
      <w:r>
        <w:rPr>
          <w:b/>
          <w:sz w:val="28"/>
          <w:szCs w:val="28"/>
        </w:rPr>
        <w:t>FESTIVAL COSTUMBRISTA DE LOS ANDES 20</w:t>
      </w:r>
      <w:r>
        <w:rPr>
          <w:b/>
          <w:sz w:val="28"/>
          <w:szCs w:val="28"/>
          <w:lang w:val="es-MX"/>
        </w:rPr>
        <w:t xml:space="preserve">26       </w:t>
      </w:r>
    </w:p>
    <w:p w14:paraId="003F91A5">
      <w:pPr>
        <w:rPr>
          <w:b/>
          <w:sz w:val="28"/>
          <w:szCs w:val="28"/>
        </w:rPr>
      </w:pPr>
      <w:r>
        <w:rPr>
          <w:b/>
          <w:sz w:val="28"/>
          <w:szCs w:val="28"/>
        </w:rPr>
        <w:t xml:space="preserve">                            BASES DE LA FERIA GASTRONÓMICA CRIOLLA</w:t>
      </w:r>
    </w:p>
    <w:p w14:paraId="122DED22">
      <w:pPr>
        <w:rPr>
          <w:b/>
          <w:color w:val="10253F" w:themeColor="text2" w:themeShade="80"/>
          <w:sz w:val="24"/>
          <w:szCs w:val="24"/>
        </w:rPr>
      </w:pPr>
      <w:r>
        <w:rPr>
          <w:b/>
          <w:color w:val="10253F" w:themeColor="text2" w:themeShade="80"/>
          <w:sz w:val="24"/>
          <w:szCs w:val="24"/>
        </w:rPr>
        <w:t>CONVOCATORIA:</w:t>
      </w:r>
    </w:p>
    <w:p w14:paraId="010F13E4">
      <w:pPr>
        <w:jc w:val="both"/>
        <w:rPr>
          <w:color w:val="10253F" w:themeColor="text2" w:themeShade="80"/>
          <w:sz w:val="24"/>
          <w:szCs w:val="24"/>
        </w:rPr>
      </w:pPr>
      <w:r>
        <w:rPr>
          <w:color w:val="10253F" w:themeColor="text2" w:themeShade="80"/>
          <w:sz w:val="24"/>
          <w:szCs w:val="24"/>
        </w:rPr>
        <w:t xml:space="preserve">La Comisión Organizadora del </w:t>
      </w:r>
      <w:r>
        <w:rPr>
          <w:b/>
          <w:color w:val="10253F" w:themeColor="text2" w:themeShade="80"/>
          <w:sz w:val="24"/>
          <w:szCs w:val="24"/>
          <w:lang w:val="es-MX"/>
        </w:rPr>
        <w:t>XIV</w:t>
      </w:r>
      <w:r>
        <w:rPr>
          <w:b/>
          <w:color w:val="10253F" w:themeColor="text2" w:themeShade="80"/>
          <w:sz w:val="24"/>
          <w:szCs w:val="24"/>
        </w:rPr>
        <w:t xml:space="preserve"> Festival Costumbrista de Los Andes</w:t>
      </w:r>
      <w:r>
        <w:rPr>
          <w:color w:val="10253F" w:themeColor="text2" w:themeShade="80"/>
          <w:sz w:val="24"/>
          <w:szCs w:val="24"/>
        </w:rPr>
        <w:t xml:space="preserve">, invita a los Restaurantes, Picadas, Pequeños Emprendimientos Gastronómicos, Cafeterías, Heladerías y Pastelería, a participar en la Muestra Gastronómica Criolla a realizarse los días </w:t>
      </w:r>
      <w:r>
        <w:rPr>
          <w:b/>
          <w:color w:val="10253F" w:themeColor="text2" w:themeShade="80"/>
          <w:sz w:val="24"/>
          <w:szCs w:val="24"/>
          <w:lang w:val="es-MX"/>
        </w:rPr>
        <w:t xml:space="preserve">09, 10, 11 y 12 </w:t>
      </w:r>
      <w:r>
        <w:rPr>
          <w:b/>
          <w:color w:val="10253F" w:themeColor="text2" w:themeShade="80"/>
          <w:sz w:val="24"/>
          <w:szCs w:val="24"/>
        </w:rPr>
        <w:t>de Octubre 20</w:t>
      </w:r>
      <w:r>
        <w:rPr>
          <w:b/>
          <w:color w:val="10253F" w:themeColor="text2" w:themeShade="80"/>
          <w:sz w:val="24"/>
          <w:szCs w:val="24"/>
          <w:lang w:val="es-MX"/>
        </w:rPr>
        <w:t>26,</w:t>
      </w:r>
      <w:r>
        <w:rPr>
          <w:color w:val="10253F" w:themeColor="text2" w:themeShade="80"/>
          <w:sz w:val="24"/>
          <w:szCs w:val="24"/>
        </w:rPr>
        <w:t xml:space="preserve"> en el Parque Urbano Ambrosio O’Higgins  de Los Andes, como una forma de promover la cocina tradicional y cultura gastronómica de la zona del Aconcagua.</w:t>
      </w:r>
    </w:p>
    <w:p w14:paraId="78CCD2D1">
      <w:pPr>
        <w:spacing w:after="0" w:line="240" w:lineRule="auto"/>
        <w:jc w:val="both"/>
        <w:rPr>
          <w:b/>
          <w:color w:val="10253F" w:themeColor="text2" w:themeShade="80"/>
          <w:sz w:val="24"/>
          <w:szCs w:val="24"/>
        </w:rPr>
      </w:pPr>
      <w:r>
        <w:rPr>
          <w:b/>
          <w:color w:val="10253F" w:themeColor="text2" w:themeShade="80"/>
          <w:sz w:val="24"/>
          <w:szCs w:val="24"/>
        </w:rPr>
        <w:t>A) Requisitos de los postulantes:</w:t>
      </w:r>
    </w:p>
    <w:p w14:paraId="297BD42D">
      <w:pPr>
        <w:pStyle w:val="10"/>
        <w:numPr>
          <w:ilvl w:val="0"/>
          <w:numId w:val="1"/>
        </w:numPr>
        <w:spacing w:after="0" w:line="240" w:lineRule="auto"/>
        <w:ind w:left="0"/>
        <w:jc w:val="both"/>
        <w:rPr>
          <w:color w:val="10253F" w:themeColor="text2" w:themeShade="80"/>
          <w:sz w:val="24"/>
          <w:szCs w:val="24"/>
        </w:rPr>
      </w:pPr>
      <w:r>
        <w:rPr>
          <w:color w:val="10253F" w:themeColor="text2" w:themeShade="80"/>
          <w:sz w:val="24"/>
          <w:szCs w:val="24"/>
        </w:rPr>
        <w:t xml:space="preserve"> Los postulantes deberán indicar en qué categoría postulan:</w:t>
      </w:r>
    </w:p>
    <w:p w14:paraId="1686DC79">
      <w:pPr>
        <w:pStyle w:val="10"/>
        <w:numPr>
          <w:ilvl w:val="1"/>
          <w:numId w:val="1"/>
        </w:numPr>
        <w:jc w:val="both"/>
        <w:rPr>
          <w:color w:val="10253F" w:themeColor="text2" w:themeShade="80"/>
          <w:sz w:val="24"/>
          <w:szCs w:val="24"/>
        </w:rPr>
      </w:pPr>
      <w:r>
        <w:rPr>
          <w:color w:val="10253F" w:themeColor="text2" w:themeShade="80"/>
          <w:sz w:val="24"/>
          <w:szCs w:val="24"/>
          <w:lang w:val="es-MX"/>
        </w:rPr>
        <w:t>Restaurante</w:t>
      </w:r>
      <w:r>
        <w:rPr>
          <w:color w:val="10253F" w:themeColor="text2" w:themeShade="80"/>
          <w:sz w:val="24"/>
          <w:szCs w:val="24"/>
        </w:rPr>
        <w:t>. ( Venta de platos preparados, almuerzos, menú y Platillos típicos como son pastel de choclo, costillar y comida típica acorde  al  evento)</w:t>
      </w:r>
    </w:p>
    <w:p w14:paraId="3EB16B01">
      <w:pPr>
        <w:pStyle w:val="10"/>
        <w:numPr>
          <w:ilvl w:val="1"/>
          <w:numId w:val="1"/>
        </w:numPr>
        <w:jc w:val="both"/>
        <w:rPr>
          <w:color w:val="10253F" w:themeColor="text2" w:themeShade="80"/>
          <w:sz w:val="24"/>
          <w:szCs w:val="24"/>
        </w:rPr>
      </w:pPr>
      <w:r>
        <w:rPr>
          <w:color w:val="10253F" w:themeColor="text2" w:themeShade="80"/>
          <w:sz w:val="24"/>
          <w:szCs w:val="24"/>
        </w:rPr>
        <w:t>Carros Food Truck. (solo aquellos que expendan producto de carácter típico y que tengan relación con alimentos típicos).</w:t>
      </w:r>
    </w:p>
    <w:p w14:paraId="26E3F0E9">
      <w:pPr>
        <w:pStyle w:val="10"/>
        <w:numPr>
          <w:ilvl w:val="1"/>
          <w:numId w:val="1"/>
        </w:numPr>
        <w:jc w:val="both"/>
        <w:rPr>
          <w:color w:val="10253F" w:themeColor="text2" w:themeShade="80"/>
          <w:sz w:val="24"/>
          <w:szCs w:val="24"/>
        </w:rPr>
      </w:pPr>
      <w:r>
        <w:rPr>
          <w:color w:val="10253F" w:themeColor="text2" w:themeShade="80"/>
          <w:sz w:val="24"/>
          <w:szCs w:val="24"/>
        </w:rPr>
        <w:t>Carros Churreros y algodoneros.</w:t>
      </w:r>
    </w:p>
    <w:p w14:paraId="07096C4A">
      <w:pPr>
        <w:pStyle w:val="10"/>
        <w:numPr>
          <w:ilvl w:val="1"/>
          <w:numId w:val="1"/>
        </w:numPr>
        <w:jc w:val="both"/>
        <w:rPr>
          <w:color w:val="10253F" w:themeColor="text2" w:themeShade="80"/>
          <w:sz w:val="24"/>
          <w:szCs w:val="24"/>
        </w:rPr>
      </w:pPr>
      <w:r>
        <w:rPr>
          <w:color w:val="10253F" w:themeColor="text2" w:themeShade="80"/>
          <w:sz w:val="24"/>
          <w:szCs w:val="24"/>
        </w:rPr>
        <w:t>Cerveceros.</w:t>
      </w:r>
    </w:p>
    <w:p w14:paraId="487F3E8A">
      <w:pPr>
        <w:pStyle w:val="10"/>
        <w:numPr>
          <w:ilvl w:val="1"/>
          <w:numId w:val="1"/>
        </w:numPr>
        <w:jc w:val="both"/>
        <w:rPr>
          <w:color w:val="10253F" w:themeColor="text2" w:themeShade="80"/>
          <w:sz w:val="24"/>
          <w:szCs w:val="24"/>
        </w:rPr>
      </w:pPr>
      <w:r>
        <w:rPr>
          <w:color w:val="10253F" w:themeColor="text2" w:themeShade="80"/>
          <w:sz w:val="24"/>
          <w:szCs w:val="24"/>
        </w:rPr>
        <w:t>En esta versión será necesario y obligatorios que todos los postulantes presenten preparaciones típicas relacionadas con el evento, esto con el objetivo de resaltar las costumbres culturales y gastronómicas de nuestra zona.</w:t>
      </w:r>
    </w:p>
    <w:p w14:paraId="0C0B1A2F">
      <w:pPr>
        <w:pStyle w:val="10"/>
        <w:numPr>
          <w:ilvl w:val="1"/>
          <w:numId w:val="1"/>
        </w:numPr>
        <w:jc w:val="both"/>
        <w:rPr>
          <w:color w:val="10253F" w:themeColor="text2" w:themeShade="80"/>
          <w:sz w:val="24"/>
          <w:szCs w:val="24"/>
        </w:rPr>
      </w:pPr>
      <w:r>
        <w:rPr>
          <w:color w:val="10253F" w:themeColor="text2" w:themeShade="80"/>
          <w:sz w:val="24"/>
          <w:szCs w:val="24"/>
        </w:rPr>
        <w:t>Se aceptaran propuestas gastronómicas migrantes, siempre y cuando se encuentre descritas dentro de las culturas y costumbre gastronómicas de otras naciones.</w:t>
      </w:r>
    </w:p>
    <w:p w14:paraId="3193D8AA">
      <w:pPr>
        <w:pStyle w:val="10"/>
        <w:numPr>
          <w:ilvl w:val="0"/>
          <w:numId w:val="1"/>
        </w:numPr>
        <w:jc w:val="both"/>
        <w:rPr>
          <w:color w:val="10253F" w:themeColor="text2" w:themeShade="80"/>
          <w:sz w:val="24"/>
          <w:szCs w:val="24"/>
        </w:rPr>
      </w:pPr>
      <w:r>
        <w:rPr>
          <w:color w:val="10253F" w:themeColor="text2" w:themeShade="80"/>
          <w:sz w:val="24"/>
          <w:szCs w:val="24"/>
        </w:rPr>
        <w:t xml:space="preserve"> Quienes expendan productos  alimenticios deben contar con Resolución Sanitaria al día. Quienes no la posean deben acogerse al Decreto Supremo 214 o en su defecto al Decreto Supremo 19749 (MEF) de la Autoridad Sanitaria.</w:t>
      </w:r>
    </w:p>
    <w:p w14:paraId="66C0C1B9">
      <w:pPr>
        <w:pStyle w:val="10"/>
        <w:numPr>
          <w:ilvl w:val="0"/>
          <w:numId w:val="1"/>
        </w:numPr>
        <w:jc w:val="both"/>
        <w:rPr>
          <w:color w:val="10253F" w:themeColor="text2" w:themeShade="80"/>
          <w:sz w:val="24"/>
          <w:szCs w:val="24"/>
        </w:rPr>
      </w:pPr>
      <w:r>
        <w:rPr>
          <w:color w:val="10253F" w:themeColor="text2" w:themeShade="80"/>
          <w:sz w:val="24"/>
          <w:szCs w:val="24"/>
        </w:rPr>
        <w:t xml:space="preserve">Contar con iniciación de actividades ante el SII.  </w:t>
      </w:r>
    </w:p>
    <w:p w14:paraId="780FD302">
      <w:pPr>
        <w:pStyle w:val="10"/>
        <w:numPr>
          <w:ilvl w:val="0"/>
          <w:numId w:val="1"/>
        </w:numPr>
        <w:jc w:val="both"/>
        <w:rPr>
          <w:color w:val="10253F" w:themeColor="text2" w:themeShade="80"/>
          <w:sz w:val="24"/>
          <w:szCs w:val="24"/>
        </w:rPr>
      </w:pPr>
      <w:r>
        <w:rPr>
          <w:color w:val="10253F" w:themeColor="text2" w:themeShade="80"/>
          <w:sz w:val="24"/>
          <w:szCs w:val="24"/>
        </w:rPr>
        <w:t xml:space="preserve">Los productores que expendan bebidas alcohólicas deberán cumplir con todas las exigencias establecidas en la Ley Nº18.455. De igual forma, deberán cumplir con los requisitos exigidos por la Autoridad Sanitaria (permisos), y “Resolución Sanitaria” en aquellos productos que así lo </w:t>
      </w:r>
      <w:r>
        <w:rPr>
          <w:color w:val="10253F" w:themeColor="text2" w:themeShade="80"/>
          <w:sz w:val="24"/>
          <w:szCs w:val="24"/>
          <w:lang w:val="es-MX"/>
        </w:rPr>
        <w:t>requieran</w:t>
      </w:r>
      <w:r>
        <w:rPr>
          <w:color w:val="10253F" w:themeColor="text2" w:themeShade="80"/>
          <w:sz w:val="24"/>
          <w:szCs w:val="24"/>
        </w:rPr>
        <w:t>. Se recomienda efectuar previamente las consultas a los servicios públicos correspondientes.</w:t>
      </w:r>
    </w:p>
    <w:p w14:paraId="7B040F51">
      <w:pPr>
        <w:pStyle w:val="10"/>
        <w:numPr>
          <w:ilvl w:val="0"/>
          <w:numId w:val="1"/>
        </w:numPr>
        <w:jc w:val="both"/>
        <w:rPr>
          <w:color w:val="10253F" w:themeColor="text2" w:themeShade="80"/>
          <w:sz w:val="24"/>
          <w:szCs w:val="24"/>
        </w:rPr>
      </w:pPr>
      <w:r>
        <w:rPr>
          <w:color w:val="10253F" w:themeColor="text2" w:themeShade="80"/>
          <w:sz w:val="24"/>
          <w:szCs w:val="24"/>
        </w:rPr>
        <w:t>Para  la categoría de Cerveceros, será requisito irrenunciable ser productor de su propia cerveza, para esto todos los postulantes en esta categoría deberán presentar el certificado  correspondiente.</w:t>
      </w:r>
    </w:p>
    <w:p w14:paraId="2783659B">
      <w:pPr>
        <w:jc w:val="both"/>
        <w:rPr>
          <w:color w:val="10253F" w:themeColor="text2" w:themeShade="80"/>
          <w:sz w:val="24"/>
          <w:szCs w:val="24"/>
        </w:rPr>
      </w:pPr>
      <w:r>
        <w:rPr>
          <w:b/>
          <w:color w:val="10253F" w:themeColor="text2" w:themeShade="80"/>
          <w:sz w:val="24"/>
          <w:szCs w:val="24"/>
        </w:rPr>
        <w:t>B) Plazos de Postulación</w:t>
      </w:r>
      <w:r>
        <w:rPr>
          <w:color w:val="10253F" w:themeColor="text2" w:themeShade="80"/>
          <w:sz w:val="24"/>
          <w:szCs w:val="24"/>
        </w:rPr>
        <w:t xml:space="preserve">: </w:t>
      </w:r>
    </w:p>
    <w:p w14:paraId="4582390D">
      <w:pPr>
        <w:spacing w:after="0" w:line="240" w:lineRule="auto"/>
        <w:jc w:val="both"/>
        <w:rPr>
          <w:rFonts w:ascii="Calibri" w:hAnsi="Calibri" w:eastAsia="Calibri" w:cs="Calibri"/>
          <w:b/>
          <w:sz w:val="24"/>
          <w:lang w:val="es-MX"/>
        </w:rPr>
      </w:pPr>
      <w:r>
        <w:rPr>
          <w:b/>
          <w:color w:val="10253F" w:themeColor="text2" w:themeShade="80"/>
          <w:sz w:val="24"/>
          <w:szCs w:val="24"/>
        </w:rPr>
        <w:t>a</w:t>
      </w:r>
      <w:r>
        <w:rPr>
          <w:b/>
          <w:sz w:val="24"/>
          <w:szCs w:val="24"/>
        </w:rPr>
        <w:t>)</w:t>
      </w:r>
      <w:r>
        <w:rPr>
          <w:sz w:val="24"/>
          <w:szCs w:val="24"/>
        </w:rPr>
        <w:t xml:space="preserve"> El proceso de postulación será desde el </w:t>
      </w:r>
      <w:r>
        <w:rPr>
          <w:rFonts w:ascii="Calibri" w:hAnsi="Calibri" w:eastAsia="Calibri" w:cs="Calibri"/>
          <w:b/>
          <w:bCs/>
          <w:color w:val="0F243E"/>
          <w:sz w:val="24"/>
          <w:lang w:val="es-MX"/>
        </w:rPr>
        <w:t>lunes 07 al domingo 13 de septiembre</w:t>
      </w:r>
      <w:r>
        <w:rPr>
          <w:rFonts w:ascii="Calibri" w:hAnsi="Calibri" w:eastAsia="Calibri" w:cs="Calibri"/>
          <w:b/>
          <w:sz w:val="24"/>
          <w:lang w:val="es-MX"/>
        </w:rPr>
        <w:t xml:space="preserve"> del 2026</w:t>
      </w:r>
      <w:r>
        <w:rPr>
          <w:rFonts w:ascii="Calibri" w:hAnsi="Calibri" w:eastAsia="Calibri" w:cs="Calibri"/>
          <w:b/>
          <w:sz w:val="24"/>
        </w:rPr>
        <w:t xml:space="preserve"> hasta las 24:00</w:t>
      </w:r>
      <w:r>
        <w:rPr>
          <w:rFonts w:ascii="Calibri" w:hAnsi="Calibri" w:eastAsia="Calibri" w:cs="Calibri"/>
          <w:b/>
          <w:sz w:val="24"/>
          <w:lang w:val="es-MX"/>
        </w:rPr>
        <w:t xml:space="preserve"> horas.</w:t>
      </w:r>
    </w:p>
    <w:p w14:paraId="0E3E5CFC">
      <w:pPr>
        <w:spacing w:after="0" w:line="240" w:lineRule="auto"/>
        <w:jc w:val="both"/>
        <w:rPr>
          <w:rFonts w:ascii="Calibri" w:hAnsi="Calibri" w:eastAsia="Calibri" w:cs="Calibri"/>
          <w:b/>
          <w:sz w:val="24"/>
          <w:lang w:val="es-MX"/>
        </w:rPr>
      </w:pPr>
    </w:p>
    <w:p w14:paraId="21FF2DDC">
      <w:pPr>
        <w:spacing w:after="0" w:line="240" w:lineRule="auto"/>
        <w:jc w:val="both"/>
        <w:rPr>
          <w:rFonts w:ascii="Calibri" w:hAnsi="Calibri" w:eastAsia="Calibri" w:cs="Calibri"/>
          <w:sz w:val="24"/>
        </w:rPr>
      </w:pPr>
      <w:r>
        <w:rPr>
          <w:b/>
          <w:sz w:val="24"/>
          <w:szCs w:val="24"/>
        </w:rPr>
        <w:t>b)</w:t>
      </w:r>
      <w:r>
        <w:rPr>
          <w:sz w:val="24"/>
          <w:szCs w:val="24"/>
        </w:rPr>
        <w:t xml:space="preserve"> Entrega de resultados de las postulaciones será el día </w:t>
      </w:r>
      <w:r>
        <w:rPr>
          <w:rFonts w:ascii="Calibri" w:hAnsi="Calibri" w:eastAsia="Calibri" w:cs="Calibri"/>
          <w:b/>
          <w:sz w:val="24"/>
          <w:lang w:val="es-MX"/>
        </w:rPr>
        <w:t>miércoles</w:t>
      </w:r>
      <w:r>
        <w:rPr>
          <w:rFonts w:ascii="Calibri" w:hAnsi="Calibri" w:eastAsia="Calibri" w:cs="Calibri"/>
          <w:b/>
          <w:sz w:val="24"/>
        </w:rPr>
        <w:t xml:space="preserve"> 23 de septiembre del 20</w:t>
      </w:r>
      <w:r>
        <w:rPr>
          <w:rFonts w:ascii="Calibri" w:hAnsi="Calibri" w:eastAsia="Calibri" w:cs="Calibri"/>
          <w:b/>
          <w:sz w:val="24"/>
          <w:lang w:val="es-MX"/>
        </w:rPr>
        <w:t>26</w:t>
      </w:r>
      <w:r>
        <w:rPr>
          <w:rFonts w:ascii="Calibri" w:hAnsi="Calibri" w:eastAsia="Calibri" w:cs="Calibri"/>
          <w:sz w:val="24"/>
        </w:rPr>
        <w:t xml:space="preserve"> hasta la 20:00, por correo electrónico.</w:t>
      </w:r>
    </w:p>
    <w:p w14:paraId="41A947E3">
      <w:pPr>
        <w:spacing w:after="0" w:line="240" w:lineRule="auto"/>
        <w:jc w:val="both"/>
        <w:rPr>
          <w:rFonts w:ascii="Calibri" w:hAnsi="Calibri" w:eastAsia="Calibri" w:cs="Calibri"/>
          <w:sz w:val="24"/>
        </w:rPr>
      </w:pPr>
    </w:p>
    <w:p w14:paraId="17A9217E">
      <w:pPr>
        <w:spacing w:after="0" w:line="240" w:lineRule="auto"/>
        <w:jc w:val="both"/>
        <w:rPr>
          <w:rFonts w:ascii="Calibri" w:hAnsi="Calibri" w:eastAsia="Calibri" w:cs="Calibri"/>
          <w:color w:val="000000"/>
          <w:sz w:val="24"/>
        </w:rPr>
      </w:pPr>
      <w:r>
        <w:rPr>
          <w:b/>
          <w:color w:val="10253F" w:themeColor="text2" w:themeShade="80"/>
          <w:sz w:val="24"/>
          <w:szCs w:val="24"/>
        </w:rPr>
        <w:t>c)</w:t>
      </w:r>
      <w:r>
        <w:rPr>
          <w:color w:val="10253F" w:themeColor="text2" w:themeShade="80"/>
          <w:sz w:val="24"/>
          <w:szCs w:val="24"/>
        </w:rPr>
        <w:t xml:space="preserve"> Las postulaciones  y entrega de los antecedente requeridos se realizaran en forma </w:t>
      </w:r>
      <w:r>
        <w:rPr>
          <w:color w:val="10253F" w:themeColor="text2" w:themeShade="80"/>
          <w:sz w:val="24"/>
          <w:szCs w:val="24"/>
          <w:lang w:val="es-CL"/>
        </w:rPr>
        <w:t>híbrida</w:t>
      </w:r>
      <w:r>
        <w:rPr>
          <w:color w:val="10253F" w:themeColor="text2" w:themeShade="80"/>
          <w:sz w:val="24"/>
          <w:szCs w:val="24"/>
        </w:rPr>
        <w:t>, esto con el objetivo de facilitar el proceso</w:t>
      </w:r>
      <w:r>
        <w:rPr>
          <w:rFonts w:hint="default"/>
          <w:color w:val="10253F" w:themeColor="text2" w:themeShade="80"/>
          <w:sz w:val="24"/>
          <w:szCs w:val="24"/>
          <w:lang w:val="es-CL"/>
        </w:rPr>
        <w:t xml:space="preserve"> de postulación.</w:t>
      </w:r>
      <w:r>
        <w:rPr>
          <w:rFonts w:ascii="Calibri" w:hAnsi="Calibri" w:eastAsia="Calibri" w:cs="Calibri"/>
          <w:color w:val="000000"/>
          <w:sz w:val="24"/>
        </w:rPr>
        <w:t xml:space="preserve"> Solo adjuntar formulario y fotografías, seguir instrucciones indicadas para evitar complicaciones de recepción.</w:t>
      </w:r>
      <w:bookmarkStart w:id="0" w:name="_GoBack"/>
      <w:bookmarkEnd w:id="0"/>
    </w:p>
    <w:p w14:paraId="75494F01">
      <w:pPr>
        <w:spacing w:after="0"/>
        <w:jc w:val="both"/>
        <w:rPr>
          <w:b/>
          <w:color w:val="10253F" w:themeColor="text2" w:themeShade="80"/>
          <w:sz w:val="24"/>
          <w:szCs w:val="24"/>
        </w:rPr>
      </w:pPr>
    </w:p>
    <w:p w14:paraId="490586A6">
      <w:pPr>
        <w:spacing w:after="0"/>
        <w:jc w:val="both"/>
        <w:rPr>
          <w:color w:val="10253F" w:themeColor="text2" w:themeShade="80"/>
          <w:sz w:val="24"/>
          <w:szCs w:val="24"/>
        </w:rPr>
      </w:pPr>
      <w:r>
        <w:rPr>
          <w:b/>
          <w:color w:val="10253F" w:themeColor="text2" w:themeShade="80"/>
          <w:sz w:val="24"/>
          <w:szCs w:val="24"/>
        </w:rPr>
        <w:t>d)</w:t>
      </w:r>
      <w:r>
        <w:rPr>
          <w:color w:val="10253F" w:themeColor="text2" w:themeShade="80"/>
          <w:sz w:val="24"/>
          <w:szCs w:val="24"/>
        </w:rPr>
        <w:t xml:space="preserve"> Para los postulantes con carros de comida y/o Food </w:t>
      </w:r>
      <w:r>
        <w:rPr>
          <w:color w:val="10253F" w:themeColor="text2" w:themeShade="80"/>
          <w:sz w:val="24"/>
          <w:szCs w:val="24"/>
          <w:lang w:val="es-CL"/>
        </w:rPr>
        <w:t>Track</w:t>
      </w:r>
      <w:r>
        <w:rPr>
          <w:color w:val="10253F" w:themeColor="text2" w:themeShade="80"/>
          <w:sz w:val="24"/>
          <w:szCs w:val="24"/>
        </w:rPr>
        <w:t xml:space="preserve"> será obligatorio indicar las dimensiones  de su carro, incluyendo la lanza de arrastre, de no entregar los datos solicitados es una opción de quedar fuera del proceso de selección.</w:t>
      </w:r>
    </w:p>
    <w:p w14:paraId="5CF59023">
      <w:pPr>
        <w:spacing w:after="0"/>
        <w:jc w:val="both"/>
        <w:rPr>
          <w:color w:val="10253F" w:themeColor="text2" w:themeShade="80"/>
          <w:sz w:val="24"/>
          <w:szCs w:val="24"/>
        </w:rPr>
      </w:pPr>
    </w:p>
    <w:p w14:paraId="589426CC">
      <w:pPr>
        <w:jc w:val="both"/>
        <w:rPr>
          <w:color w:val="10253F" w:themeColor="text2" w:themeShade="80"/>
          <w:sz w:val="24"/>
          <w:szCs w:val="24"/>
        </w:rPr>
      </w:pPr>
      <w:r>
        <w:rPr>
          <w:b/>
          <w:sz w:val="24"/>
          <w:szCs w:val="24"/>
        </w:rPr>
        <w:t>e)</w:t>
      </w:r>
      <w:r>
        <w:rPr>
          <w:sz w:val="24"/>
          <w:szCs w:val="24"/>
        </w:rPr>
        <w:t xml:space="preserve"> La confirmación </w:t>
      </w:r>
      <w:r>
        <w:rPr>
          <w:color w:val="10253F" w:themeColor="text2" w:themeShade="80"/>
          <w:sz w:val="24"/>
          <w:szCs w:val="24"/>
        </w:rPr>
        <w:t xml:space="preserve">de los postulantes y pago  del aporte </w:t>
      </w:r>
      <w:r>
        <w:rPr>
          <w:sz w:val="24"/>
          <w:szCs w:val="24"/>
        </w:rPr>
        <w:t>será</w:t>
      </w:r>
      <w:r>
        <w:rPr>
          <w:color w:val="10253F" w:themeColor="text2" w:themeShade="80"/>
          <w:sz w:val="24"/>
          <w:szCs w:val="24"/>
        </w:rPr>
        <w:t xml:space="preserve"> el día</w:t>
      </w:r>
      <w:r>
        <w:rPr>
          <w:color w:val="10253F" w:themeColor="text2" w:themeShade="80"/>
          <w:sz w:val="24"/>
          <w:szCs w:val="24"/>
          <w:lang w:val="es-MX"/>
        </w:rPr>
        <w:t xml:space="preserve"> </w:t>
      </w:r>
      <w:r>
        <w:rPr>
          <w:rFonts w:ascii="Calibri" w:hAnsi="Calibri" w:eastAsia="Calibri" w:cs="Calibri"/>
          <w:b/>
          <w:color w:val="0F243E"/>
          <w:sz w:val="24"/>
          <w:lang w:val="es-MX"/>
        </w:rPr>
        <w:t>martes 29 de septiembre a las 18:30 horas</w:t>
      </w:r>
      <w:r>
        <w:rPr>
          <w:rFonts w:ascii="Calibri" w:hAnsi="Calibri" w:eastAsia="Calibri" w:cs="Calibri"/>
          <w:color w:val="0F243E"/>
          <w:sz w:val="24"/>
          <w:lang w:val="es-MX"/>
        </w:rPr>
        <w:t xml:space="preserve"> en dependencias de Dideco de nuestra ciudad, ubicada en Las Heras 196, esquina de Membrillar,</w:t>
      </w:r>
      <w:r>
        <w:rPr>
          <w:color w:val="10253F" w:themeColor="text2" w:themeShade="80"/>
          <w:sz w:val="24"/>
          <w:szCs w:val="24"/>
        </w:rPr>
        <w:t xml:space="preserve"> por lo tanto la asistencia de los postulantes aceptados será obligatoria a dicha reunión.</w:t>
      </w:r>
    </w:p>
    <w:p w14:paraId="3A30CCDD">
      <w:pPr>
        <w:jc w:val="both"/>
        <w:rPr>
          <w:color w:val="10253F" w:themeColor="text2" w:themeShade="80"/>
          <w:sz w:val="24"/>
          <w:szCs w:val="24"/>
        </w:rPr>
      </w:pPr>
      <w:r>
        <w:rPr>
          <w:b/>
          <w:color w:val="10253F" w:themeColor="text2" w:themeShade="80"/>
          <w:sz w:val="24"/>
          <w:szCs w:val="24"/>
        </w:rPr>
        <w:t>f)</w:t>
      </w:r>
      <w:r>
        <w:rPr>
          <w:color w:val="10253F" w:themeColor="text2" w:themeShade="80"/>
          <w:sz w:val="24"/>
          <w:szCs w:val="24"/>
        </w:rPr>
        <w:t xml:space="preserve"> Queda expresamente establecido que los postulantes que no asistan o no cancelen el aporte respectivo en esta reunión, le dará derecho a la dirección  del Festival Costumbrista  y a la Comisión Gastronómica a correr la lista y elegir a otro postulante.</w:t>
      </w:r>
    </w:p>
    <w:p w14:paraId="2A6C187E">
      <w:pPr>
        <w:jc w:val="both"/>
        <w:rPr>
          <w:color w:val="10253F" w:themeColor="text2" w:themeShade="80"/>
          <w:sz w:val="24"/>
          <w:szCs w:val="24"/>
        </w:rPr>
      </w:pPr>
      <w:r>
        <w:rPr>
          <w:b/>
          <w:color w:val="10253F" w:themeColor="text2" w:themeShade="80"/>
          <w:sz w:val="24"/>
          <w:szCs w:val="24"/>
        </w:rPr>
        <w:t>g)</w:t>
      </w:r>
      <w:r>
        <w:rPr>
          <w:color w:val="10253F" w:themeColor="text2" w:themeShade="80"/>
          <w:sz w:val="24"/>
          <w:szCs w:val="24"/>
        </w:rPr>
        <w:t xml:space="preserve"> Se recuerda a todos los participantes  que es de su exclusiva responsabilidad la tramitación de la documentación legal, la Asociación Cultural  Festival Costumbrista Los Andes no se hace responsable de las sanciones o clausuras de los stands que no cumplan con los requisitos mínimos de funcionamiento  y/o en que la autoridad así lo decida.</w:t>
      </w:r>
    </w:p>
    <w:p w14:paraId="7C1ACF5F">
      <w:pPr>
        <w:spacing w:after="0" w:line="240" w:lineRule="auto"/>
        <w:jc w:val="both"/>
        <w:rPr>
          <w:rFonts w:cs="Arial"/>
          <w:b/>
          <w:color w:val="FF0000"/>
          <w:sz w:val="24"/>
          <w:szCs w:val="24"/>
          <w:shd w:val="clear" w:color="auto" w:fill="FFFFFF"/>
        </w:rPr>
      </w:pPr>
      <w:r>
        <w:rPr>
          <w:b/>
          <w:sz w:val="24"/>
          <w:szCs w:val="24"/>
        </w:rPr>
        <w:t xml:space="preserve">Página web para solicitud de Bases.: </w:t>
      </w:r>
      <w:r>
        <w:fldChar w:fldCharType="begin"/>
      </w:r>
      <w:r>
        <w:instrText xml:space="preserve"> HYPERLINK "http://www.festivalcostumbristalosandes.cl" </w:instrText>
      </w:r>
      <w:r>
        <w:fldChar w:fldCharType="separate"/>
      </w:r>
      <w:r>
        <w:rPr>
          <w:rStyle w:val="4"/>
          <w:rFonts w:cs="Arial"/>
          <w:b/>
          <w:sz w:val="24"/>
          <w:szCs w:val="24"/>
          <w:shd w:val="clear" w:color="auto" w:fill="FFFFFF"/>
        </w:rPr>
        <w:t>www.festivalcostumbristalosandes.cl</w:t>
      </w:r>
      <w:r>
        <w:rPr>
          <w:rStyle w:val="4"/>
          <w:rFonts w:cs="Arial"/>
          <w:b/>
          <w:sz w:val="24"/>
          <w:szCs w:val="24"/>
          <w:shd w:val="clear" w:color="auto" w:fill="FFFFFF"/>
        </w:rPr>
        <w:fldChar w:fldCharType="end"/>
      </w:r>
    </w:p>
    <w:p w14:paraId="2C5911A5">
      <w:pPr>
        <w:spacing w:after="0" w:line="240" w:lineRule="auto"/>
        <w:jc w:val="both"/>
        <w:rPr>
          <w:rFonts w:cs="Arial"/>
          <w:color w:val="FF0000"/>
          <w:sz w:val="24"/>
          <w:szCs w:val="24"/>
        </w:rPr>
      </w:pPr>
    </w:p>
    <w:p w14:paraId="5BA75E31">
      <w:pPr>
        <w:spacing w:after="0" w:line="240" w:lineRule="auto"/>
        <w:rPr>
          <w:b/>
          <w:smallCaps/>
          <w:w w:val="90"/>
          <w:sz w:val="24"/>
          <w:szCs w:val="24"/>
        </w:rPr>
      </w:pPr>
      <w:r>
        <w:rPr>
          <w:b/>
          <w:smallCaps/>
          <w:w w:val="90"/>
          <w:sz w:val="24"/>
          <w:szCs w:val="24"/>
        </w:rPr>
        <w:t>Casilla de correo electrónico a la que se despacha el formulario de postulación</w:t>
      </w:r>
    </w:p>
    <w:p w14:paraId="3081613D">
      <w:pPr>
        <w:pStyle w:val="10"/>
        <w:jc w:val="both"/>
        <w:rPr>
          <w:b/>
          <w:color w:val="FF0000"/>
          <w:sz w:val="24"/>
          <w:szCs w:val="24"/>
        </w:rPr>
      </w:pPr>
      <w:r>
        <w:fldChar w:fldCharType="begin"/>
      </w:r>
      <w:r>
        <w:instrText xml:space="preserve"> HYPERLINK "mailto:gastronomia.fcla@gmail.com" </w:instrText>
      </w:r>
      <w:r>
        <w:fldChar w:fldCharType="separate"/>
      </w:r>
      <w:r>
        <w:rPr>
          <w:rStyle w:val="4"/>
          <w:b/>
          <w:sz w:val="24"/>
          <w:szCs w:val="24"/>
        </w:rPr>
        <w:t>gastronomia.fcla@gmail.com</w:t>
      </w:r>
      <w:r>
        <w:rPr>
          <w:rStyle w:val="4"/>
          <w:b/>
          <w:sz w:val="24"/>
          <w:szCs w:val="24"/>
        </w:rPr>
        <w:fldChar w:fldCharType="end"/>
      </w:r>
    </w:p>
    <w:p w14:paraId="1BD0419E">
      <w:pPr>
        <w:pStyle w:val="10"/>
        <w:jc w:val="both"/>
        <w:rPr>
          <w:b/>
          <w:color w:val="FF0000"/>
          <w:sz w:val="24"/>
          <w:szCs w:val="24"/>
        </w:rPr>
      </w:pPr>
    </w:p>
    <w:p w14:paraId="41659734">
      <w:pPr>
        <w:pStyle w:val="10"/>
        <w:jc w:val="both"/>
        <w:rPr>
          <w:b/>
          <w:color w:val="FF0000"/>
          <w:sz w:val="24"/>
          <w:szCs w:val="24"/>
        </w:rPr>
      </w:pPr>
    </w:p>
    <w:p w14:paraId="559BFFCF">
      <w:pPr>
        <w:jc w:val="both"/>
        <w:rPr>
          <w:color w:val="10253F" w:themeColor="text2" w:themeShade="80"/>
          <w:sz w:val="24"/>
          <w:szCs w:val="24"/>
        </w:rPr>
      </w:pPr>
      <w:r>
        <w:rPr>
          <w:b/>
          <w:color w:val="10253F" w:themeColor="text2" w:themeShade="80"/>
          <w:sz w:val="24"/>
          <w:szCs w:val="24"/>
        </w:rPr>
        <w:t>C) Participación</w:t>
      </w:r>
      <w:r>
        <w:rPr>
          <w:color w:val="10253F" w:themeColor="text2" w:themeShade="80"/>
          <w:sz w:val="24"/>
          <w:szCs w:val="24"/>
        </w:rPr>
        <w:t>:</w:t>
      </w:r>
    </w:p>
    <w:p w14:paraId="6440CBAA">
      <w:pPr>
        <w:jc w:val="both"/>
        <w:rPr>
          <w:color w:val="10253F" w:themeColor="text2" w:themeShade="80"/>
          <w:sz w:val="24"/>
          <w:szCs w:val="24"/>
        </w:rPr>
      </w:pPr>
      <w:r>
        <w:rPr>
          <w:color w:val="10253F" w:themeColor="text2" w:themeShade="80"/>
          <w:sz w:val="24"/>
          <w:szCs w:val="24"/>
        </w:rPr>
        <w:t>-La Comisión Organizadora no realiza cobros por derecho y/o venta de los módulos, pero si, se deberá realizar un aporte de:</w:t>
      </w:r>
    </w:p>
    <w:p w14:paraId="309E9D1F">
      <w:pPr>
        <w:jc w:val="both"/>
        <w:rPr>
          <w:b/>
          <w:color w:val="10253F" w:themeColor="text2" w:themeShade="80"/>
          <w:sz w:val="24"/>
          <w:szCs w:val="24"/>
        </w:rPr>
      </w:pPr>
      <w:r>
        <w:rPr>
          <w:color w:val="10253F" w:themeColor="text2" w:themeShade="80"/>
          <w:sz w:val="24"/>
          <w:szCs w:val="24"/>
        </w:rPr>
        <w:t xml:space="preserve"> </w:t>
      </w:r>
      <w:r>
        <w:rPr>
          <w:b/>
          <w:color w:val="10253F" w:themeColor="text2" w:themeShade="80"/>
          <w:sz w:val="24"/>
          <w:szCs w:val="24"/>
        </w:rPr>
        <w:t>$ 800.000 mil pesos, Carros de comidas.</w:t>
      </w:r>
    </w:p>
    <w:p w14:paraId="526CBE8E">
      <w:pPr>
        <w:jc w:val="both"/>
        <w:rPr>
          <w:b/>
          <w:color w:val="10253F" w:themeColor="text2" w:themeShade="80"/>
          <w:sz w:val="24"/>
          <w:szCs w:val="24"/>
        </w:rPr>
      </w:pPr>
      <w:r>
        <w:rPr>
          <w:b/>
          <w:color w:val="10253F" w:themeColor="text2" w:themeShade="80"/>
          <w:sz w:val="24"/>
          <w:szCs w:val="24"/>
        </w:rPr>
        <w:t>$ 800.000 mil para puesto de venta de comida preparada.</w:t>
      </w:r>
    </w:p>
    <w:p w14:paraId="4D3ADF3D">
      <w:pPr>
        <w:jc w:val="both"/>
        <w:rPr>
          <w:b/>
          <w:color w:val="10253F" w:themeColor="text2" w:themeShade="80"/>
          <w:sz w:val="24"/>
          <w:szCs w:val="24"/>
        </w:rPr>
      </w:pPr>
      <w:r>
        <w:rPr>
          <w:b/>
          <w:color w:val="10253F" w:themeColor="text2" w:themeShade="80"/>
          <w:sz w:val="24"/>
          <w:szCs w:val="24"/>
        </w:rPr>
        <w:t>$ 800.000 mil puestos de Cervezas.</w:t>
      </w:r>
    </w:p>
    <w:p w14:paraId="0E289F0E">
      <w:pPr>
        <w:jc w:val="both"/>
        <w:rPr>
          <w:color w:val="10253F" w:themeColor="text2" w:themeShade="80"/>
          <w:sz w:val="24"/>
          <w:szCs w:val="24"/>
        </w:rPr>
      </w:pPr>
      <w:r>
        <w:rPr>
          <w:b/>
          <w:color w:val="10253F" w:themeColor="text2" w:themeShade="80"/>
          <w:sz w:val="24"/>
          <w:szCs w:val="24"/>
        </w:rPr>
        <w:t xml:space="preserve">$ 500.000 mil para puestos de cafeterías, heladerías y pastelería. </w:t>
      </w:r>
      <w:r>
        <w:rPr>
          <w:color w:val="10253F" w:themeColor="text2" w:themeShade="80"/>
          <w:sz w:val="24"/>
          <w:szCs w:val="24"/>
        </w:rPr>
        <w:t>Esta categoría es para expositores que participan en el piso y con las medidas de un toldo de 3X3.</w:t>
      </w:r>
    </w:p>
    <w:p w14:paraId="0DE2C71A">
      <w:pPr>
        <w:jc w:val="both"/>
        <w:rPr>
          <w:color w:val="10253F" w:themeColor="text2" w:themeShade="80"/>
          <w:sz w:val="24"/>
          <w:szCs w:val="24"/>
        </w:rPr>
      </w:pPr>
      <w:r>
        <w:rPr>
          <w:color w:val="10253F" w:themeColor="text2" w:themeShade="80"/>
          <w:sz w:val="24"/>
          <w:szCs w:val="24"/>
        </w:rPr>
        <w:t>Los aportes son</w:t>
      </w:r>
      <w:r>
        <w:rPr>
          <w:b/>
          <w:color w:val="10253F" w:themeColor="text2" w:themeShade="80"/>
          <w:sz w:val="24"/>
          <w:szCs w:val="24"/>
        </w:rPr>
        <w:t xml:space="preserve"> </w:t>
      </w:r>
      <w:r>
        <w:rPr>
          <w:color w:val="10253F" w:themeColor="text2" w:themeShade="80"/>
          <w:sz w:val="24"/>
          <w:szCs w:val="24"/>
        </w:rPr>
        <w:t xml:space="preserve">por conceptos de gastos generales que demanda dicha actividad, como son credenciales, representación, energía, seguridad e instalaciones, entre otros requerimientos. </w:t>
      </w:r>
    </w:p>
    <w:p w14:paraId="4C7724E8">
      <w:pPr>
        <w:jc w:val="both"/>
        <w:rPr>
          <w:color w:val="10253F" w:themeColor="text2" w:themeShade="80"/>
          <w:sz w:val="24"/>
          <w:szCs w:val="24"/>
        </w:rPr>
      </w:pPr>
      <w:r>
        <w:rPr>
          <w:color w:val="10253F" w:themeColor="text2" w:themeShade="80"/>
          <w:sz w:val="24"/>
          <w:szCs w:val="24"/>
        </w:rPr>
        <w:t>-Quien sea aceptado deberá comprometerse a participar en la Muestra Gastronómica y no podrá ser reemplazado o ceder el espacio a otra persona que no sea el titular y no le será devuelto el importe cancelado.</w:t>
      </w:r>
    </w:p>
    <w:p w14:paraId="05D24789">
      <w:pPr>
        <w:jc w:val="both"/>
        <w:rPr>
          <w:color w:val="10253F" w:themeColor="text2" w:themeShade="80"/>
          <w:sz w:val="24"/>
          <w:szCs w:val="24"/>
        </w:rPr>
      </w:pPr>
      <w:r>
        <w:rPr>
          <w:color w:val="10253F" w:themeColor="text2" w:themeShade="80"/>
          <w:sz w:val="24"/>
          <w:szCs w:val="24"/>
        </w:rPr>
        <w:t xml:space="preserve">- Respecto a la ubicación designada </w:t>
      </w:r>
      <w:r>
        <w:rPr>
          <w:rFonts w:hint="default"/>
          <w:color w:val="10253F" w:themeColor="text2" w:themeShade="80"/>
          <w:sz w:val="24"/>
          <w:szCs w:val="24"/>
          <w:lang w:val="es-CL"/>
        </w:rPr>
        <w:t>esta se conocerá al momento de la instalación.</w:t>
      </w:r>
    </w:p>
    <w:p w14:paraId="03C7C191">
      <w:pPr>
        <w:jc w:val="both"/>
        <w:rPr>
          <w:color w:val="10253F" w:themeColor="text2" w:themeShade="80"/>
          <w:sz w:val="24"/>
          <w:szCs w:val="24"/>
        </w:rPr>
      </w:pPr>
      <w:r>
        <w:rPr>
          <w:color w:val="10253F" w:themeColor="text2" w:themeShade="80"/>
          <w:sz w:val="24"/>
          <w:szCs w:val="24"/>
        </w:rPr>
        <w:t>-Es responsabilidad del participante cumplir con las normas vigentes del SII y Autoridad Sanitaria para vender  y exponer sus productos, además contar con:</w:t>
      </w:r>
    </w:p>
    <w:p w14:paraId="1E984749">
      <w:pPr>
        <w:pStyle w:val="10"/>
        <w:numPr>
          <w:ilvl w:val="0"/>
          <w:numId w:val="2"/>
        </w:numPr>
        <w:jc w:val="both"/>
        <w:rPr>
          <w:color w:val="10253F" w:themeColor="text2" w:themeShade="80"/>
          <w:sz w:val="24"/>
          <w:szCs w:val="24"/>
        </w:rPr>
      </w:pPr>
      <w:r>
        <w:rPr>
          <w:color w:val="10253F" w:themeColor="text2" w:themeShade="80"/>
          <w:sz w:val="24"/>
          <w:szCs w:val="24"/>
        </w:rPr>
        <w:t>Contenedor de basura con tapa que cubra las necesidades propias de su actividad.</w:t>
      </w:r>
    </w:p>
    <w:p w14:paraId="53750737">
      <w:pPr>
        <w:pStyle w:val="10"/>
        <w:numPr>
          <w:ilvl w:val="0"/>
          <w:numId w:val="2"/>
        </w:numPr>
        <w:jc w:val="both"/>
        <w:rPr>
          <w:color w:val="10253F" w:themeColor="text2" w:themeShade="80"/>
          <w:sz w:val="24"/>
          <w:szCs w:val="24"/>
        </w:rPr>
      </w:pPr>
      <w:r>
        <w:rPr>
          <w:color w:val="10253F" w:themeColor="text2" w:themeShade="80"/>
          <w:sz w:val="24"/>
          <w:szCs w:val="24"/>
        </w:rPr>
        <w:t xml:space="preserve">Instalación  eléctrica que cubra los requerimientos </w:t>
      </w:r>
      <w:r>
        <w:rPr>
          <w:sz w:val="24"/>
          <w:szCs w:val="24"/>
        </w:rPr>
        <w:t>propios</w:t>
      </w:r>
      <w:r>
        <w:rPr>
          <w:color w:val="10253F" w:themeColor="text2" w:themeShade="80"/>
          <w:sz w:val="24"/>
          <w:szCs w:val="24"/>
        </w:rPr>
        <w:t xml:space="preserve"> de su actividad.</w:t>
      </w:r>
    </w:p>
    <w:p w14:paraId="2A75E1E8">
      <w:pPr>
        <w:pStyle w:val="10"/>
        <w:numPr>
          <w:ilvl w:val="0"/>
          <w:numId w:val="2"/>
        </w:numPr>
        <w:jc w:val="both"/>
        <w:rPr>
          <w:color w:val="10253F" w:themeColor="text2" w:themeShade="80"/>
          <w:sz w:val="24"/>
          <w:szCs w:val="24"/>
        </w:rPr>
      </w:pPr>
      <w:r>
        <w:rPr>
          <w:color w:val="10253F" w:themeColor="text2" w:themeShade="80"/>
          <w:sz w:val="24"/>
          <w:szCs w:val="24"/>
        </w:rPr>
        <w:t>Un Extintor clase A.B.C visible en cada módulo.</w:t>
      </w:r>
    </w:p>
    <w:p w14:paraId="1CD3B289">
      <w:pPr>
        <w:pStyle w:val="10"/>
        <w:numPr>
          <w:ilvl w:val="0"/>
          <w:numId w:val="2"/>
        </w:numPr>
        <w:jc w:val="both"/>
        <w:rPr>
          <w:color w:val="10253F" w:themeColor="text2" w:themeShade="80"/>
          <w:sz w:val="24"/>
          <w:szCs w:val="24"/>
        </w:rPr>
      </w:pPr>
      <w:r>
        <w:rPr>
          <w:color w:val="10253F" w:themeColor="text2" w:themeShade="80"/>
          <w:sz w:val="24"/>
          <w:szCs w:val="24"/>
        </w:rPr>
        <w:t>Todas las conexiones de gas por norma SEC debe ser con flexible metálico de gas licuado de al menos 1 mt. de extensión.</w:t>
      </w:r>
    </w:p>
    <w:p w14:paraId="75DAAAAA">
      <w:pPr>
        <w:pStyle w:val="10"/>
        <w:numPr>
          <w:ilvl w:val="0"/>
          <w:numId w:val="2"/>
        </w:numPr>
        <w:spacing w:after="0" w:line="240" w:lineRule="auto"/>
        <w:jc w:val="both"/>
        <w:rPr>
          <w:rFonts w:ascii="Calibri" w:hAnsi="Calibri" w:eastAsia="Calibri" w:cs="Calibri"/>
          <w:color w:val="000000"/>
          <w:sz w:val="24"/>
        </w:rPr>
      </w:pPr>
      <w:r>
        <w:rPr>
          <w:rFonts w:ascii="Calibri" w:hAnsi="Calibri" w:eastAsia="Calibri" w:cs="Calibri"/>
          <w:color w:val="000000"/>
          <w:sz w:val="24"/>
        </w:rPr>
        <w:t>Se debe adjuntar un mínimo de 03 y un máximo de 0</w:t>
      </w:r>
      <w:r>
        <w:rPr>
          <w:rFonts w:ascii="Calibri" w:hAnsi="Calibri" w:eastAsia="Calibri" w:cs="Calibri"/>
          <w:color w:val="000000"/>
          <w:sz w:val="24"/>
          <w:lang w:val="es-MX"/>
        </w:rPr>
        <w:t>5</w:t>
      </w:r>
      <w:r>
        <w:rPr>
          <w:rFonts w:ascii="Calibri" w:hAnsi="Calibri" w:eastAsia="Calibri" w:cs="Calibri"/>
          <w:color w:val="000000"/>
          <w:sz w:val="24"/>
        </w:rPr>
        <w:t xml:space="preserve"> fotografías digitales (mínimo 300 dpi) de los productos a exponer, más otra fotografía retrato del expositor(a), por ultimo otra fotografía del carro, esto en una sola hoja.</w:t>
      </w:r>
    </w:p>
    <w:p w14:paraId="70F7C03E">
      <w:pPr>
        <w:pStyle w:val="10"/>
        <w:numPr>
          <w:ilvl w:val="0"/>
          <w:numId w:val="2"/>
        </w:numPr>
        <w:spacing w:after="0" w:line="240" w:lineRule="auto"/>
        <w:jc w:val="both"/>
        <w:rPr>
          <w:rFonts w:ascii="Calibri" w:hAnsi="Calibri" w:eastAsia="Calibri" w:cs="Calibri"/>
          <w:color w:val="000000"/>
          <w:sz w:val="24"/>
        </w:rPr>
      </w:pPr>
      <w:r>
        <w:rPr>
          <w:rFonts w:ascii="Calibri" w:hAnsi="Calibri" w:eastAsia="Calibri" w:cs="Calibri"/>
          <w:color w:val="000000"/>
          <w:sz w:val="24"/>
        </w:rPr>
        <w:t>Se solicita enviar el logo que identifica su emprendimiento.</w:t>
      </w:r>
    </w:p>
    <w:p w14:paraId="6449EDD6">
      <w:pPr>
        <w:spacing w:after="0" w:line="240" w:lineRule="auto"/>
        <w:jc w:val="both"/>
        <w:rPr>
          <w:rFonts w:ascii="Calibri" w:hAnsi="Calibri" w:eastAsia="Calibri" w:cs="Calibri"/>
          <w:color w:val="000000"/>
          <w:sz w:val="24"/>
        </w:rPr>
      </w:pPr>
    </w:p>
    <w:p w14:paraId="275E4D7B">
      <w:pPr>
        <w:spacing w:after="0" w:line="240" w:lineRule="auto"/>
        <w:ind w:left="426"/>
        <w:jc w:val="both"/>
        <w:rPr>
          <w:rFonts w:ascii="Calibri" w:hAnsi="Calibri" w:eastAsia="Calibri" w:cs="Calibri"/>
          <w:color w:val="000000"/>
          <w:sz w:val="24"/>
        </w:rPr>
      </w:pPr>
    </w:p>
    <w:p w14:paraId="0E1A967B">
      <w:pPr>
        <w:jc w:val="both"/>
        <w:rPr>
          <w:color w:val="10253F" w:themeColor="text2" w:themeShade="80"/>
          <w:sz w:val="24"/>
          <w:szCs w:val="24"/>
        </w:rPr>
      </w:pPr>
      <w:r>
        <w:rPr>
          <w:color w:val="10253F" w:themeColor="text2" w:themeShade="80"/>
          <w:sz w:val="24"/>
          <w:szCs w:val="24"/>
        </w:rPr>
        <w:t>-El servicio deberá estar disponible los días</w:t>
      </w:r>
      <w:r>
        <w:rPr>
          <w:b/>
          <w:color w:val="10253F" w:themeColor="text2" w:themeShade="80"/>
          <w:sz w:val="24"/>
          <w:szCs w:val="24"/>
        </w:rPr>
        <w:t>, viernes 09, sábado 10, domingo 11 y lunes 12 de Octubre, entre las 11:00 y 22:00 Hrs.</w:t>
      </w:r>
    </w:p>
    <w:p w14:paraId="67706DDB">
      <w:pPr>
        <w:spacing w:line="240" w:lineRule="auto"/>
        <w:jc w:val="both"/>
        <w:rPr>
          <w:rFonts w:cstheme="minorHAnsi"/>
        </w:rPr>
      </w:pPr>
      <w:r>
        <w:rPr>
          <w:rFonts w:cstheme="minorHAnsi"/>
          <w:sz w:val="24"/>
          <w:szCs w:val="24"/>
        </w:rPr>
        <w:t xml:space="preserve">- La Instalación: Se realizará  el día </w:t>
      </w:r>
      <w:r>
        <w:rPr>
          <w:rFonts w:cstheme="minorHAnsi"/>
          <w:b/>
          <w:sz w:val="24"/>
          <w:szCs w:val="24"/>
        </w:rPr>
        <w:t>viernes 09 entre las 9:00 y 12:00 hrs</w:t>
      </w:r>
      <w:r>
        <w:rPr>
          <w:rFonts w:cstheme="minorHAnsi"/>
          <w:sz w:val="24"/>
          <w:szCs w:val="24"/>
        </w:rPr>
        <w:t xml:space="preserve">. Por solicitud de los expositores se comenzará a funcionar a partir de las </w:t>
      </w:r>
      <w:r>
        <w:rPr>
          <w:rFonts w:cstheme="minorHAnsi"/>
          <w:b/>
          <w:sz w:val="24"/>
          <w:szCs w:val="24"/>
        </w:rPr>
        <w:t>14:00 hrs.</w:t>
      </w:r>
    </w:p>
    <w:p w14:paraId="73717FA2">
      <w:pPr>
        <w:jc w:val="both"/>
        <w:rPr>
          <w:b/>
          <w:color w:val="10253F" w:themeColor="text2" w:themeShade="80"/>
          <w:sz w:val="24"/>
          <w:szCs w:val="24"/>
        </w:rPr>
      </w:pPr>
      <w:r>
        <w:rPr>
          <w:color w:val="10253F" w:themeColor="text2" w:themeShade="80"/>
          <w:sz w:val="24"/>
          <w:szCs w:val="24"/>
        </w:rPr>
        <w:t xml:space="preserve">- Cada módulo debe poseer un letrero de identificación, con el nombre y el producto que expende, además de la frase </w:t>
      </w:r>
      <w:r>
        <w:rPr>
          <w:b/>
          <w:color w:val="10253F" w:themeColor="text2" w:themeShade="80"/>
          <w:sz w:val="24"/>
          <w:szCs w:val="24"/>
        </w:rPr>
        <w:t>“XIV Muestra Gastronómica Criolla 20</w:t>
      </w:r>
      <w:r>
        <w:rPr>
          <w:b/>
          <w:color w:val="10253F" w:themeColor="text2" w:themeShade="80"/>
          <w:sz w:val="24"/>
          <w:szCs w:val="24"/>
          <w:lang w:val="es-MX"/>
        </w:rPr>
        <w:t>26</w:t>
      </w:r>
      <w:r>
        <w:rPr>
          <w:b/>
          <w:color w:val="10253F" w:themeColor="text2" w:themeShade="80"/>
          <w:sz w:val="24"/>
          <w:szCs w:val="24"/>
        </w:rPr>
        <w:t xml:space="preserve"> y el nombre del módulo”.</w:t>
      </w:r>
    </w:p>
    <w:p w14:paraId="55339544">
      <w:pPr>
        <w:jc w:val="both"/>
        <w:rPr>
          <w:color w:val="10253F" w:themeColor="text2" w:themeShade="80"/>
          <w:sz w:val="24"/>
          <w:szCs w:val="24"/>
        </w:rPr>
      </w:pPr>
      <w:r>
        <w:rPr>
          <w:color w:val="10253F" w:themeColor="text2" w:themeShade="80"/>
          <w:sz w:val="24"/>
          <w:szCs w:val="24"/>
        </w:rPr>
        <w:t>-  Cada expositor deberá exhibir en un lugar visible  la credencial oficial del evento.</w:t>
      </w:r>
    </w:p>
    <w:p w14:paraId="7DB1600C">
      <w:pPr>
        <w:jc w:val="both"/>
        <w:rPr>
          <w:b/>
          <w:color w:val="10253F" w:themeColor="text2" w:themeShade="80"/>
          <w:sz w:val="24"/>
          <w:szCs w:val="24"/>
        </w:rPr>
      </w:pPr>
      <w:r>
        <w:rPr>
          <w:b/>
          <w:color w:val="10253F" w:themeColor="text2" w:themeShade="80"/>
          <w:sz w:val="24"/>
          <w:szCs w:val="24"/>
        </w:rPr>
        <w:t>D) Carga y descarga de Mercaderías:</w:t>
      </w:r>
    </w:p>
    <w:p w14:paraId="0CBBB374">
      <w:pPr>
        <w:pStyle w:val="10"/>
        <w:numPr>
          <w:ilvl w:val="0"/>
          <w:numId w:val="3"/>
        </w:numPr>
        <w:rPr>
          <w:sz w:val="24"/>
          <w:szCs w:val="24"/>
        </w:rPr>
      </w:pPr>
      <w:r>
        <w:rPr>
          <w:sz w:val="24"/>
          <w:szCs w:val="24"/>
        </w:rPr>
        <w:t xml:space="preserve">Se autorizara la carga y descarga de mercadería, todos los días del Festival, entre las </w:t>
      </w:r>
      <w:r>
        <w:rPr>
          <w:b/>
          <w:sz w:val="24"/>
          <w:szCs w:val="24"/>
        </w:rPr>
        <w:t>09:00</w:t>
      </w:r>
      <w:r>
        <w:rPr>
          <w:sz w:val="24"/>
          <w:szCs w:val="24"/>
        </w:rPr>
        <w:t xml:space="preserve"> y las </w:t>
      </w:r>
      <w:r>
        <w:rPr>
          <w:b/>
          <w:sz w:val="24"/>
          <w:szCs w:val="24"/>
        </w:rPr>
        <w:t>10:00</w:t>
      </w:r>
      <w:r>
        <w:rPr>
          <w:sz w:val="24"/>
          <w:szCs w:val="24"/>
        </w:rPr>
        <w:t xml:space="preserve"> horas.</w:t>
      </w:r>
    </w:p>
    <w:p w14:paraId="42C386BF">
      <w:pPr>
        <w:pStyle w:val="10"/>
        <w:numPr>
          <w:ilvl w:val="0"/>
          <w:numId w:val="3"/>
        </w:numPr>
        <w:rPr>
          <w:sz w:val="24"/>
          <w:szCs w:val="24"/>
        </w:rPr>
      </w:pPr>
      <w:r>
        <w:rPr>
          <w:sz w:val="24"/>
          <w:szCs w:val="24"/>
        </w:rPr>
        <w:t>No se permitirá el tránsito de ningún tipo de vehículos al interior del recinto, fuera del horario establecido en el punto anterior, como una manera de resguardar la integridad y seguridad de los asistentes al Festival.</w:t>
      </w:r>
    </w:p>
    <w:p w14:paraId="6AF9D611">
      <w:pPr>
        <w:jc w:val="both"/>
        <w:rPr>
          <w:color w:val="10253F" w:themeColor="text2" w:themeShade="80"/>
          <w:sz w:val="24"/>
          <w:szCs w:val="24"/>
        </w:rPr>
      </w:pPr>
      <w:r>
        <w:rPr>
          <w:b/>
          <w:color w:val="10253F" w:themeColor="text2" w:themeShade="80"/>
          <w:sz w:val="24"/>
          <w:szCs w:val="24"/>
        </w:rPr>
        <w:t>E) Productos</w:t>
      </w:r>
      <w:r>
        <w:rPr>
          <w:color w:val="10253F" w:themeColor="text2" w:themeShade="80"/>
          <w:sz w:val="24"/>
          <w:szCs w:val="24"/>
        </w:rPr>
        <w:t>:</w:t>
      </w:r>
    </w:p>
    <w:p w14:paraId="4FF90189">
      <w:pPr>
        <w:jc w:val="both"/>
        <w:rPr>
          <w:color w:val="10253F" w:themeColor="text2" w:themeShade="80"/>
          <w:sz w:val="24"/>
          <w:szCs w:val="24"/>
        </w:rPr>
      </w:pPr>
      <w:r>
        <w:rPr>
          <w:color w:val="10253F" w:themeColor="text2" w:themeShade="80"/>
          <w:sz w:val="24"/>
          <w:szCs w:val="24"/>
        </w:rPr>
        <w:t>-   Los expositores solo podrán vender los productos con los cuales postularon, en caso contrario será clausurado en forma inmediata.</w:t>
      </w:r>
    </w:p>
    <w:p w14:paraId="629F46E8">
      <w:pPr>
        <w:jc w:val="both"/>
        <w:rPr>
          <w:color w:val="10253F" w:themeColor="text2" w:themeShade="80"/>
          <w:sz w:val="24"/>
          <w:szCs w:val="24"/>
        </w:rPr>
      </w:pPr>
      <w:r>
        <w:rPr>
          <w:color w:val="10253F" w:themeColor="text2" w:themeShade="80"/>
          <w:sz w:val="24"/>
          <w:szCs w:val="24"/>
        </w:rPr>
        <w:t>- Los platos elaborados deberán venderse debidamente envasados, evitando su manipulación, cumpliendo con toda la normativa sanitaria, tales como cadena de frío, transporte, manipulación, etc.</w:t>
      </w:r>
    </w:p>
    <w:p w14:paraId="01788FC3">
      <w:pPr>
        <w:jc w:val="both"/>
        <w:rPr>
          <w:color w:val="10253F" w:themeColor="text2" w:themeShade="80"/>
          <w:sz w:val="24"/>
          <w:szCs w:val="24"/>
        </w:rPr>
      </w:pPr>
      <w:r>
        <w:rPr>
          <w:color w:val="10253F" w:themeColor="text2" w:themeShade="80"/>
          <w:sz w:val="24"/>
          <w:szCs w:val="24"/>
        </w:rPr>
        <w:t xml:space="preserve">-  Los productos criollos que se vendan para servirse al paso, deberán ser cocinados en parrillas al fuego, manipulados con pinzas, evitando todo contacto que afecte su higiene.  Los expositores deberán tener  stock  de productos para la venta durante los cuatro días que dure el evento. </w:t>
      </w:r>
    </w:p>
    <w:p w14:paraId="1B4C50DD">
      <w:pPr>
        <w:jc w:val="both"/>
        <w:rPr>
          <w:b/>
          <w:color w:val="10253F" w:themeColor="text2" w:themeShade="80"/>
          <w:sz w:val="24"/>
          <w:szCs w:val="24"/>
        </w:rPr>
      </w:pPr>
    </w:p>
    <w:p w14:paraId="2AF6F83E">
      <w:pPr>
        <w:jc w:val="both"/>
        <w:rPr>
          <w:b/>
          <w:color w:val="10253F" w:themeColor="text2" w:themeShade="80"/>
          <w:sz w:val="24"/>
          <w:szCs w:val="24"/>
        </w:rPr>
      </w:pPr>
      <w:r>
        <w:rPr>
          <w:b/>
          <w:color w:val="10253F" w:themeColor="text2" w:themeShade="80"/>
          <w:sz w:val="24"/>
          <w:szCs w:val="24"/>
        </w:rPr>
        <w:t>F) Responsabilidad Ambiental</w:t>
      </w:r>
    </w:p>
    <w:p w14:paraId="651C2BDA">
      <w:pPr>
        <w:jc w:val="both"/>
        <w:rPr>
          <w:b/>
          <w:color w:val="10253F" w:themeColor="text2" w:themeShade="80"/>
          <w:sz w:val="24"/>
          <w:szCs w:val="24"/>
        </w:rPr>
      </w:pPr>
      <w:r>
        <w:rPr>
          <w:b/>
          <w:color w:val="10253F" w:themeColor="text2" w:themeShade="80"/>
          <w:sz w:val="24"/>
          <w:szCs w:val="24"/>
        </w:rPr>
        <w:t>- La Organización y Directorio del Festival Costumbrista de Los Andes, en compromiso con las políticas ambientales y de acuerdo a la legislación vigente, solicita a todos los expositores el “NO USO DE BOLSAS PLASTICAS DURANTE EL EVENTO”.</w:t>
      </w:r>
    </w:p>
    <w:p w14:paraId="3DA9B59E">
      <w:pPr>
        <w:jc w:val="both"/>
        <w:rPr>
          <w:b/>
          <w:color w:val="10253F" w:themeColor="text2" w:themeShade="80"/>
          <w:sz w:val="24"/>
          <w:szCs w:val="24"/>
        </w:rPr>
      </w:pPr>
    </w:p>
    <w:p w14:paraId="54D4EEDF">
      <w:pPr>
        <w:jc w:val="both"/>
        <w:rPr>
          <w:b/>
          <w:color w:val="10253F" w:themeColor="text2" w:themeShade="80"/>
          <w:sz w:val="24"/>
          <w:szCs w:val="24"/>
        </w:rPr>
      </w:pPr>
      <w:r>
        <w:rPr>
          <w:b/>
          <w:color w:val="10253F" w:themeColor="text2" w:themeShade="80"/>
          <w:sz w:val="24"/>
          <w:szCs w:val="24"/>
        </w:rPr>
        <w:t>G) Responsabilidad de la instalación.</w:t>
      </w:r>
    </w:p>
    <w:p w14:paraId="51518649">
      <w:pPr>
        <w:jc w:val="both"/>
        <w:rPr>
          <w:b/>
          <w:color w:val="10253F" w:themeColor="text2" w:themeShade="80"/>
          <w:sz w:val="24"/>
          <w:szCs w:val="24"/>
        </w:rPr>
      </w:pPr>
      <w:r>
        <w:rPr>
          <w:b/>
          <w:color w:val="10253F" w:themeColor="text2" w:themeShade="80"/>
          <w:sz w:val="24"/>
          <w:szCs w:val="24"/>
        </w:rPr>
        <w:t>-</w:t>
      </w:r>
      <w:r>
        <w:rPr>
          <w:color w:val="10253F" w:themeColor="text2" w:themeShade="80"/>
          <w:sz w:val="24"/>
          <w:szCs w:val="24"/>
        </w:rPr>
        <w:t>Para poder proceder a la instalación, cada postulante al momento de la presentación al recinto lo deberá hacer con la documentación legal requerida.</w:t>
      </w:r>
    </w:p>
    <w:p w14:paraId="4F009E5B">
      <w:pPr>
        <w:jc w:val="both"/>
        <w:rPr>
          <w:b/>
          <w:color w:val="10253F" w:themeColor="text2" w:themeShade="80"/>
          <w:sz w:val="24"/>
          <w:szCs w:val="24"/>
        </w:rPr>
      </w:pPr>
      <w:r>
        <w:rPr>
          <w:b/>
          <w:color w:val="10253F" w:themeColor="text2" w:themeShade="80"/>
          <w:sz w:val="24"/>
          <w:szCs w:val="24"/>
        </w:rPr>
        <w:t>1.  Notificación ante la autoridad Sanitaria de Los Andes.</w:t>
      </w:r>
    </w:p>
    <w:p w14:paraId="5487E57A">
      <w:pPr>
        <w:jc w:val="both"/>
        <w:rPr>
          <w:b/>
          <w:color w:val="10253F" w:themeColor="text2" w:themeShade="80"/>
          <w:sz w:val="24"/>
          <w:szCs w:val="24"/>
        </w:rPr>
      </w:pPr>
      <w:r>
        <w:rPr>
          <w:b/>
          <w:color w:val="10253F" w:themeColor="text2" w:themeShade="80"/>
          <w:sz w:val="24"/>
          <w:szCs w:val="24"/>
        </w:rPr>
        <w:t xml:space="preserve">1.2 Certificado de la tasación tributaria si corresponde. </w:t>
      </w:r>
    </w:p>
    <w:p w14:paraId="41D0E874">
      <w:pPr>
        <w:jc w:val="both"/>
        <w:rPr>
          <w:b/>
          <w:color w:val="10253F" w:themeColor="text2" w:themeShade="80"/>
          <w:sz w:val="24"/>
          <w:szCs w:val="24"/>
        </w:rPr>
      </w:pPr>
    </w:p>
    <w:p w14:paraId="51BC8DEC">
      <w:pPr>
        <w:jc w:val="center"/>
        <w:rPr>
          <w:b/>
          <w:color w:val="10253F" w:themeColor="text2" w:themeShade="80"/>
          <w:sz w:val="32"/>
          <w:szCs w:val="32"/>
          <w:u w:val="single"/>
        </w:rPr>
      </w:pPr>
      <w:r>
        <w:rPr>
          <w:b/>
          <w:color w:val="10253F" w:themeColor="text2" w:themeShade="80"/>
          <w:sz w:val="32"/>
          <w:szCs w:val="32"/>
          <w:u w:val="single"/>
        </w:rPr>
        <w:t>LA COMISIÓN ORGANIZADORA SE RESERVA EL DERECHO DE ADMISION</w:t>
      </w:r>
    </w:p>
    <w:p w14:paraId="3948CF60">
      <w:pPr>
        <w:jc w:val="center"/>
        <w:rPr>
          <w:b/>
          <w:color w:val="10253F" w:themeColor="text2" w:themeShade="80"/>
          <w:sz w:val="32"/>
          <w:szCs w:val="32"/>
          <w:u w:val="single"/>
        </w:rPr>
      </w:pPr>
    </w:p>
    <w:p w14:paraId="45B46E30">
      <w:pPr>
        <w:jc w:val="center"/>
        <w:rPr>
          <w:b/>
          <w:color w:val="10253F" w:themeColor="text2" w:themeShade="80"/>
          <w:sz w:val="32"/>
          <w:szCs w:val="32"/>
          <w:u w:val="single"/>
        </w:rPr>
      </w:pPr>
    </w:p>
    <w:p w14:paraId="4F0B18FA">
      <w:pPr>
        <w:jc w:val="center"/>
        <w:rPr>
          <w:b/>
          <w:color w:val="10253F" w:themeColor="text2" w:themeShade="80"/>
          <w:sz w:val="32"/>
          <w:szCs w:val="32"/>
          <w:u w:val="single"/>
        </w:rPr>
      </w:pPr>
    </w:p>
    <w:p w14:paraId="52063ECF">
      <w:pPr>
        <w:jc w:val="center"/>
        <w:rPr>
          <w:b/>
          <w:color w:val="10253F" w:themeColor="text2" w:themeShade="80"/>
          <w:sz w:val="32"/>
          <w:szCs w:val="32"/>
          <w:u w:val="single"/>
        </w:rPr>
      </w:pPr>
    </w:p>
    <w:p w14:paraId="422777C1">
      <w:pPr>
        <w:jc w:val="center"/>
        <w:rPr>
          <w:b/>
          <w:color w:val="10253F" w:themeColor="text2" w:themeShade="80"/>
          <w:sz w:val="32"/>
          <w:szCs w:val="32"/>
          <w:u w:val="single"/>
        </w:rPr>
      </w:pPr>
    </w:p>
    <w:p w14:paraId="5FE58091">
      <w:pPr>
        <w:jc w:val="center"/>
        <w:rPr>
          <w:b/>
          <w:color w:val="10253F" w:themeColor="text2" w:themeShade="80"/>
          <w:sz w:val="32"/>
          <w:szCs w:val="32"/>
          <w:u w:val="single"/>
        </w:rPr>
      </w:pPr>
    </w:p>
    <w:p w14:paraId="7CFE1128">
      <w:pPr>
        <w:jc w:val="center"/>
        <w:rPr>
          <w:b/>
          <w:color w:val="10253F" w:themeColor="text2" w:themeShade="80"/>
          <w:sz w:val="32"/>
          <w:szCs w:val="32"/>
          <w:u w:val="single"/>
        </w:rPr>
      </w:pPr>
    </w:p>
    <w:p w14:paraId="2A35EE41">
      <w:pPr>
        <w:jc w:val="center"/>
        <w:rPr>
          <w:b/>
          <w:color w:val="10253F" w:themeColor="text2" w:themeShade="80"/>
          <w:sz w:val="32"/>
          <w:szCs w:val="32"/>
          <w:u w:val="single"/>
        </w:rPr>
      </w:pPr>
    </w:p>
    <w:p w14:paraId="62075A2A">
      <w:pPr>
        <w:jc w:val="center"/>
        <w:rPr>
          <w:b/>
          <w:color w:val="10253F" w:themeColor="text2" w:themeShade="80"/>
          <w:sz w:val="32"/>
          <w:szCs w:val="32"/>
          <w:u w:val="single"/>
        </w:rPr>
      </w:pPr>
    </w:p>
    <w:p w14:paraId="7D880AC6">
      <w:pPr>
        <w:jc w:val="center"/>
        <w:rPr>
          <w:b/>
          <w:color w:val="10253F" w:themeColor="text2" w:themeShade="80"/>
          <w:sz w:val="32"/>
          <w:szCs w:val="32"/>
          <w:u w:val="single"/>
        </w:rPr>
      </w:pPr>
    </w:p>
    <w:p w14:paraId="0E8B3063">
      <w:pPr>
        <w:jc w:val="center"/>
        <w:rPr>
          <w:b/>
          <w:color w:val="10253F" w:themeColor="text2" w:themeShade="80"/>
          <w:sz w:val="32"/>
          <w:szCs w:val="32"/>
          <w:u w:val="single"/>
        </w:rPr>
      </w:pPr>
    </w:p>
    <w:p w14:paraId="05D31BF5">
      <w:pPr>
        <w:jc w:val="center"/>
        <w:rPr>
          <w:b/>
          <w:color w:val="10253F" w:themeColor="text2" w:themeShade="80"/>
          <w:sz w:val="32"/>
          <w:szCs w:val="32"/>
          <w:u w:val="single"/>
        </w:rPr>
      </w:pPr>
    </w:p>
    <w:p w14:paraId="6DFE60A0">
      <w:pPr>
        <w:jc w:val="center"/>
        <w:rPr>
          <w:b/>
          <w:color w:val="10253F" w:themeColor="text2" w:themeShade="80"/>
          <w:sz w:val="32"/>
          <w:szCs w:val="32"/>
          <w:u w:val="single"/>
        </w:rPr>
      </w:pPr>
    </w:p>
    <w:p w14:paraId="7AB5B466">
      <w:pPr>
        <w:jc w:val="center"/>
        <w:rPr>
          <w:b/>
          <w:color w:val="10253F" w:themeColor="text2" w:themeShade="80"/>
          <w:sz w:val="32"/>
          <w:szCs w:val="32"/>
          <w:u w:val="single"/>
        </w:rPr>
      </w:pPr>
      <w:r>
        <w:rPr>
          <w:b/>
          <w:color w:val="10253F" w:themeColor="text2" w:themeShade="80"/>
          <w:sz w:val="32"/>
          <w:szCs w:val="32"/>
          <w:u w:val="single"/>
        </w:rPr>
        <w:t>FICHA DE POSTULACION</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2"/>
        <w:gridCol w:w="6176"/>
      </w:tblGrid>
      <w:tr w14:paraId="42BF5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Pr>
          <w:p w14:paraId="19AF4A49">
            <w:pPr>
              <w:spacing w:after="0" w:line="240" w:lineRule="auto"/>
              <w:rPr>
                <w:b/>
                <w:color w:val="10253F" w:themeColor="text2" w:themeShade="80"/>
                <w:sz w:val="24"/>
                <w:szCs w:val="24"/>
              </w:rPr>
            </w:pPr>
            <w:r>
              <w:rPr>
                <w:b/>
                <w:color w:val="10253F" w:themeColor="text2" w:themeShade="80"/>
                <w:sz w:val="24"/>
                <w:szCs w:val="24"/>
              </w:rPr>
              <w:t>NOMBRE</w:t>
            </w:r>
          </w:p>
        </w:tc>
        <w:tc>
          <w:tcPr>
            <w:tcW w:w="6176" w:type="dxa"/>
          </w:tcPr>
          <w:p w14:paraId="5D253DAA">
            <w:pPr>
              <w:spacing w:after="0" w:line="240" w:lineRule="auto"/>
              <w:jc w:val="center"/>
              <w:rPr>
                <w:b/>
                <w:color w:val="10253F" w:themeColor="text2" w:themeShade="80"/>
                <w:sz w:val="32"/>
                <w:szCs w:val="32"/>
              </w:rPr>
            </w:pPr>
          </w:p>
        </w:tc>
      </w:tr>
      <w:tr w14:paraId="5E091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Pr>
          <w:p w14:paraId="7225AD96">
            <w:pPr>
              <w:spacing w:after="0" w:line="240" w:lineRule="auto"/>
              <w:rPr>
                <w:b/>
                <w:color w:val="10253F" w:themeColor="text2" w:themeShade="80"/>
                <w:sz w:val="24"/>
                <w:szCs w:val="24"/>
              </w:rPr>
            </w:pPr>
            <w:r>
              <w:rPr>
                <w:b/>
                <w:color w:val="10253F" w:themeColor="text2" w:themeShade="80"/>
                <w:sz w:val="24"/>
                <w:szCs w:val="24"/>
              </w:rPr>
              <w:t>RUT</w:t>
            </w:r>
          </w:p>
        </w:tc>
        <w:tc>
          <w:tcPr>
            <w:tcW w:w="6176" w:type="dxa"/>
          </w:tcPr>
          <w:p w14:paraId="68CF5B4D">
            <w:pPr>
              <w:spacing w:after="0" w:line="240" w:lineRule="auto"/>
              <w:jc w:val="center"/>
              <w:rPr>
                <w:b/>
                <w:color w:val="10253F" w:themeColor="text2" w:themeShade="80"/>
                <w:sz w:val="32"/>
                <w:szCs w:val="32"/>
                <w:u w:val="single"/>
              </w:rPr>
            </w:pPr>
          </w:p>
        </w:tc>
      </w:tr>
      <w:tr w14:paraId="7C122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Pr>
          <w:p w14:paraId="21F2EA93">
            <w:pPr>
              <w:spacing w:after="0" w:line="240" w:lineRule="auto"/>
              <w:rPr>
                <w:b/>
                <w:color w:val="10253F" w:themeColor="text2" w:themeShade="80"/>
                <w:sz w:val="24"/>
                <w:szCs w:val="24"/>
              </w:rPr>
            </w:pPr>
            <w:r>
              <w:rPr>
                <w:b/>
                <w:color w:val="10253F" w:themeColor="text2" w:themeShade="80"/>
                <w:sz w:val="24"/>
                <w:szCs w:val="24"/>
              </w:rPr>
              <w:t>DOMICILIO</w:t>
            </w:r>
          </w:p>
        </w:tc>
        <w:tc>
          <w:tcPr>
            <w:tcW w:w="6176" w:type="dxa"/>
          </w:tcPr>
          <w:p w14:paraId="21436BD9">
            <w:pPr>
              <w:spacing w:after="0" w:line="240" w:lineRule="auto"/>
              <w:jc w:val="center"/>
              <w:rPr>
                <w:b/>
                <w:color w:val="10253F" w:themeColor="text2" w:themeShade="80"/>
                <w:sz w:val="32"/>
                <w:szCs w:val="32"/>
                <w:u w:val="single"/>
              </w:rPr>
            </w:pPr>
          </w:p>
        </w:tc>
      </w:tr>
      <w:tr w14:paraId="59F86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Pr>
          <w:p w14:paraId="28C5F65A">
            <w:pPr>
              <w:spacing w:after="0" w:line="240" w:lineRule="auto"/>
              <w:rPr>
                <w:b/>
                <w:color w:val="10253F" w:themeColor="text2" w:themeShade="80"/>
                <w:sz w:val="24"/>
                <w:szCs w:val="24"/>
              </w:rPr>
            </w:pPr>
            <w:r>
              <w:rPr>
                <w:b/>
                <w:color w:val="10253F" w:themeColor="text2" w:themeShade="80"/>
                <w:sz w:val="24"/>
                <w:szCs w:val="24"/>
              </w:rPr>
              <w:t>TELEFONO</w:t>
            </w:r>
          </w:p>
        </w:tc>
        <w:tc>
          <w:tcPr>
            <w:tcW w:w="6176" w:type="dxa"/>
          </w:tcPr>
          <w:p w14:paraId="1C7C81D3">
            <w:pPr>
              <w:spacing w:after="0" w:line="240" w:lineRule="auto"/>
              <w:jc w:val="center"/>
              <w:rPr>
                <w:b/>
                <w:color w:val="10253F" w:themeColor="text2" w:themeShade="80"/>
                <w:sz w:val="32"/>
                <w:szCs w:val="32"/>
                <w:u w:val="single"/>
              </w:rPr>
            </w:pPr>
          </w:p>
        </w:tc>
      </w:tr>
      <w:tr w14:paraId="75B52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Pr>
          <w:p w14:paraId="61DDAFCC">
            <w:pPr>
              <w:spacing w:after="0" w:line="240" w:lineRule="auto"/>
              <w:rPr>
                <w:b/>
                <w:color w:val="10253F" w:themeColor="text2" w:themeShade="80"/>
                <w:sz w:val="24"/>
                <w:szCs w:val="24"/>
              </w:rPr>
            </w:pPr>
            <w:r>
              <w:rPr>
                <w:b/>
                <w:color w:val="10253F" w:themeColor="text2" w:themeShade="80"/>
                <w:sz w:val="24"/>
                <w:szCs w:val="24"/>
              </w:rPr>
              <w:t>CORREO ELECTRONICO</w:t>
            </w:r>
          </w:p>
        </w:tc>
        <w:tc>
          <w:tcPr>
            <w:tcW w:w="6176" w:type="dxa"/>
          </w:tcPr>
          <w:p w14:paraId="0A43FE74">
            <w:pPr>
              <w:spacing w:after="0" w:line="240" w:lineRule="auto"/>
              <w:jc w:val="center"/>
              <w:rPr>
                <w:b/>
                <w:color w:val="10253F" w:themeColor="text2" w:themeShade="80"/>
                <w:sz w:val="32"/>
                <w:szCs w:val="32"/>
                <w:u w:val="single"/>
              </w:rPr>
            </w:pPr>
          </w:p>
        </w:tc>
      </w:tr>
      <w:tr w14:paraId="40597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3" w:hRule="atLeast"/>
        </w:trPr>
        <w:tc>
          <w:tcPr>
            <w:tcW w:w="2802" w:type="dxa"/>
          </w:tcPr>
          <w:p w14:paraId="703143D8">
            <w:pPr>
              <w:spacing w:after="0" w:line="240" w:lineRule="auto"/>
              <w:rPr>
                <w:b/>
                <w:color w:val="10253F" w:themeColor="text2" w:themeShade="80"/>
                <w:sz w:val="24"/>
                <w:szCs w:val="24"/>
              </w:rPr>
            </w:pPr>
          </w:p>
          <w:p w14:paraId="425D3266">
            <w:pPr>
              <w:spacing w:after="0" w:line="240" w:lineRule="auto"/>
              <w:rPr>
                <w:b/>
                <w:color w:val="10253F" w:themeColor="text2" w:themeShade="80"/>
                <w:sz w:val="24"/>
                <w:szCs w:val="24"/>
              </w:rPr>
            </w:pPr>
            <w:r>
              <w:rPr>
                <w:b/>
                <w:color w:val="10253F" w:themeColor="text2" w:themeShade="80"/>
                <w:sz w:val="24"/>
                <w:szCs w:val="24"/>
              </w:rPr>
              <w:t>PRODUCTOS QUE COMERCIALIZARA</w:t>
            </w:r>
          </w:p>
          <w:p w14:paraId="207996A8">
            <w:pPr>
              <w:spacing w:after="0" w:line="240" w:lineRule="auto"/>
              <w:rPr>
                <w:b/>
                <w:color w:val="10253F" w:themeColor="text2" w:themeShade="80"/>
                <w:sz w:val="24"/>
                <w:szCs w:val="24"/>
              </w:rPr>
            </w:pPr>
          </w:p>
          <w:p w14:paraId="69F541AA">
            <w:pPr>
              <w:spacing w:after="0" w:line="240" w:lineRule="auto"/>
              <w:rPr>
                <w:b/>
                <w:color w:val="10253F" w:themeColor="text2" w:themeShade="80"/>
                <w:sz w:val="24"/>
                <w:szCs w:val="24"/>
              </w:rPr>
            </w:pPr>
          </w:p>
        </w:tc>
        <w:tc>
          <w:tcPr>
            <w:tcW w:w="6176" w:type="dxa"/>
          </w:tcPr>
          <w:p w14:paraId="38DCE4C5">
            <w:pPr>
              <w:spacing w:after="0" w:line="240" w:lineRule="auto"/>
              <w:rPr>
                <w:b/>
                <w:color w:val="10253F" w:themeColor="text2" w:themeShade="80"/>
                <w:sz w:val="20"/>
                <w:szCs w:val="20"/>
                <w:u w:val="single"/>
              </w:rPr>
            </w:pPr>
            <w:r>
              <w:rPr>
                <w:b/>
                <w:color w:val="10253F" w:themeColor="text2" w:themeShade="80"/>
                <w:sz w:val="20"/>
                <w:szCs w:val="20"/>
                <w:u w:val="single"/>
              </w:rPr>
              <w:t>Detalle de los productos que estarán disponibles para la venta</w:t>
            </w:r>
          </w:p>
          <w:p w14:paraId="2BD05604">
            <w:pPr>
              <w:spacing w:after="0" w:line="240" w:lineRule="auto"/>
              <w:rPr>
                <w:b/>
                <w:color w:val="10253F" w:themeColor="text2" w:themeShade="80"/>
                <w:sz w:val="20"/>
                <w:szCs w:val="20"/>
                <w:u w:val="single"/>
              </w:rPr>
            </w:pPr>
          </w:p>
          <w:p w14:paraId="43C1FD16">
            <w:pPr>
              <w:spacing w:after="0" w:line="240" w:lineRule="auto"/>
              <w:rPr>
                <w:b/>
                <w:color w:val="10253F" w:themeColor="text2" w:themeShade="80"/>
                <w:sz w:val="20"/>
                <w:szCs w:val="20"/>
                <w:u w:val="single"/>
              </w:rPr>
            </w:pPr>
          </w:p>
        </w:tc>
      </w:tr>
      <w:tr w14:paraId="57F56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2802" w:type="dxa"/>
          </w:tcPr>
          <w:p w14:paraId="5BFCC979">
            <w:pPr>
              <w:spacing w:after="0" w:line="240" w:lineRule="auto"/>
              <w:rPr>
                <w:b/>
                <w:color w:val="10253F" w:themeColor="text2" w:themeShade="80"/>
                <w:sz w:val="24"/>
                <w:szCs w:val="24"/>
              </w:rPr>
            </w:pPr>
            <w:r>
              <w:rPr>
                <w:b/>
                <w:color w:val="10253F" w:themeColor="text2" w:themeShade="80"/>
                <w:sz w:val="24"/>
                <w:szCs w:val="24"/>
              </w:rPr>
              <w:t>NOMBRE COMERCIAL</w:t>
            </w:r>
          </w:p>
        </w:tc>
        <w:tc>
          <w:tcPr>
            <w:tcW w:w="6176" w:type="dxa"/>
          </w:tcPr>
          <w:p w14:paraId="6551DAC4">
            <w:pPr>
              <w:spacing w:after="0" w:line="240" w:lineRule="auto"/>
              <w:jc w:val="center"/>
              <w:rPr>
                <w:b/>
                <w:color w:val="10253F" w:themeColor="text2" w:themeShade="80"/>
                <w:sz w:val="32"/>
                <w:szCs w:val="32"/>
              </w:rPr>
            </w:pPr>
          </w:p>
        </w:tc>
      </w:tr>
      <w:tr w14:paraId="2D55F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Pr>
          <w:p w14:paraId="5879D6E6">
            <w:pPr>
              <w:spacing w:after="0" w:line="240" w:lineRule="auto"/>
              <w:rPr>
                <w:b/>
                <w:color w:val="10253F" w:themeColor="text2" w:themeShade="80"/>
                <w:sz w:val="24"/>
                <w:szCs w:val="24"/>
              </w:rPr>
            </w:pPr>
            <w:r>
              <w:rPr>
                <w:b/>
                <w:color w:val="10253F" w:themeColor="text2" w:themeShade="80"/>
                <w:sz w:val="24"/>
                <w:szCs w:val="24"/>
              </w:rPr>
              <w:t>RESPONSABLES DEL MODULO (DOS PERSONAS)</w:t>
            </w:r>
          </w:p>
        </w:tc>
        <w:tc>
          <w:tcPr>
            <w:tcW w:w="6176" w:type="dxa"/>
          </w:tcPr>
          <w:p w14:paraId="40173145">
            <w:pPr>
              <w:spacing w:after="0" w:line="240" w:lineRule="auto"/>
              <w:jc w:val="center"/>
              <w:rPr>
                <w:b/>
                <w:color w:val="10253F" w:themeColor="text2" w:themeShade="80"/>
                <w:sz w:val="32"/>
                <w:szCs w:val="32"/>
              </w:rPr>
            </w:pPr>
          </w:p>
        </w:tc>
      </w:tr>
    </w:tbl>
    <w:p w14:paraId="19C56947">
      <w:pPr>
        <w:pStyle w:val="10"/>
        <w:numPr>
          <w:ilvl w:val="0"/>
          <w:numId w:val="4"/>
        </w:numPr>
        <w:rPr>
          <w:color w:val="10253F" w:themeColor="text2" w:themeShade="80"/>
          <w:sz w:val="24"/>
          <w:szCs w:val="24"/>
        </w:rPr>
      </w:pPr>
      <w:r>
        <w:rPr>
          <w:color w:val="10253F" w:themeColor="text2" w:themeShade="80"/>
          <w:sz w:val="24"/>
          <w:szCs w:val="24"/>
        </w:rPr>
        <w:t>Adicionalmente en forma física se debe adjuntar obligatoriamente la documentación que respalde esta información.</w:t>
      </w:r>
    </w:p>
    <w:p w14:paraId="6334AD03">
      <w:pPr>
        <w:pStyle w:val="10"/>
        <w:numPr>
          <w:ilvl w:val="0"/>
          <w:numId w:val="4"/>
        </w:numPr>
        <w:rPr>
          <w:color w:val="10253F" w:themeColor="text2" w:themeShade="80"/>
          <w:sz w:val="24"/>
          <w:szCs w:val="24"/>
        </w:rPr>
      </w:pPr>
      <w:r>
        <w:rPr>
          <w:color w:val="10253F" w:themeColor="text2" w:themeShade="80"/>
          <w:sz w:val="24"/>
          <w:szCs w:val="24"/>
        </w:rPr>
        <w:t>Fotocopia de la CI.</w:t>
      </w:r>
    </w:p>
    <w:p w14:paraId="0D731BE2">
      <w:pPr>
        <w:pStyle w:val="10"/>
        <w:numPr>
          <w:ilvl w:val="0"/>
          <w:numId w:val="4"/>
        </w:numPr>
        <w:rPr>
          <w:color w:val="10253F" w:themeColor="text2" w:themeShade="80"/>
          <w:sz w:val="24"/>
          <w:szCs w:val="24"/>
        </w:rPr>
      </w:pPr>
      <w:r>
        <w:rPr>
          <w:color w:val="10253F" w:themeColor="text2" w:themeShade="80"/>
          <w:sz w:val="24"/>
          <w:szCs w:val="24"/>
        </w:rPr>
        <w:t xml:space="preserve">Copia de la patente o permiso y de la iniciación de actividades, si las posee. </w:t>
      </w:r>
    </w:p>
    <w:p w14:paraId="0044F472">
      <w:pPr>
        <w:pStyle w:val="10"/>
        <w:numPr>
          <w:ilvl w:val="0"/>
          <w:numId w:val="4"/>
        </w:numPr>
        <w:rPr>
          <w:color w:val="10253F" w:themeColor="text2" w:themeShade="80"/>
          <w:sz w:val="24"/>
          <w:szCs w:val="24"/>
        </w:rPr>
      </w:pPr>
      <w:r>
        <w:rPr>
          <w:color w:val="10253F" w:themeColor="text2" w:themeShade="80"/>
          <w:sz w:val="24"/>
          <w:szCs w:val="24"/>
        </w:rPr>
        <w:t>Agregar registro visual (fotografías)  de los productos con los que postula (este material no se devuelve).</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1"/>
        <w:gridCol w:w="7877"/>
      </w:tblGrid>
      <w:tr w14:paraId="1CA2A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14:paraId="20914D75">
            <w:pPr>
              <w:spacing w:after="0" w:line="240" w:lineRule="auto"/>
              <w:rPr>
                <w:color w:val="10253F" w:themeColor="text2" w:themeShade="80"/>
                <w:sz w:val="24"/>
                <w:szCs w:val="24"/>
              </w:rPr>
            </w:pPr>
            <w:r>
              <w:rPr>
                <w:color w:val="10253F" w:themeColor="text2" w:themeShade="80"/>
                <w:sz w:val="24"/>
                <w:szCs w:val="24"/>
              </w:rPr>
              <w:t>FECHA</w:t>
            </w:r>
          </w:p>
        </w:tc>
        <w:tc>
          <w:tcPr>
            <w:tcW w:w="7877" w:type="dxa"/>
          </w:tcPr>
          <w:p w14:paraId="6A4AFE50">
            <w:pPr>
              <w:spacing w:after="0" w:line="240" w:lineRule="auto"/>
              <w:rPr>
                <w:color w:val="10253F" w:themeColor="text2" w:themeShade="80"/>
                <w:sz w:val="24"/>
                <w:szCs w:val="24"/>
              </w:rPr>
            </w:pPr>
            <w:r>
              <w:rPr>
                <w:color w:val="10253F" w:themeColor="text2" w:themeShade="80"/>
                <w:sz w:val="24"/>
                <w:szCs w:val="24"/>
              </w:rPr>
              <w:t>DIA:                       MES:                                AÑO:</w:t>
            </w:r>
          </w:p>
        </w:tc>
      </w:tr>
    </w:tbl>
    <w:p w14:paraId="15BFAB7D">
      <w:pPr>
        <w:jc w:val="center"/>
        <w:rPr>
          <w:rFonts w:ascii="Arial" w:hAnsi="Arial" w:cs="Arial"/>
          <w:b/>
          <w:color w:val="10253F" w:themeColor="text2" w:themeShade="80"/>
          <w:sz w:val="32"/>
          <w:szCs w:val="32"/>
          <w:u w:val="single"/>
        </w:rPr>
      </w:pPr>
    </w:p>
    <w:sectPr>
      <w:headerReference r:id="rId5" w:type="default"/>
      <w:footerReference r:id="rId6" w:type="default"/>
      <w:pgSz w:w="12242" w:h="18722"/>
      <w:pgMar w:top="777" w:right="1701" w:bottom="1417"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45826867"/>
    </w:sdtPr>
    <w:sdtContent>
      <w:p w14:paraId="178ADE60">
        <w:pPr>
          <w:pStyle w:val="8"/>
          <w:jc w:val="center"/>
          <w:rPr>
            <w:b/>
          </w:rPr>
        </w:pPr>
        <w:r>
          <w:rPr>
            <w:b/>
          </w:rPr>
          <w:t>“</w:t>
        </w:r>
        <w:r>
          <w:rPr>
            <w:b/>
            <w:sz w:val="28"/>
            <w:szCs w:val="28"/>
          </w:rPr>
          <w:t>EL ARTE Y LA CULTURA LOCAL EN EL TIEMPO.”</w:t>
        </w:r>
      </w:p>
      <w:p w14:paraId="4272423D">
        <w:pPr>
          <w:pStyle w:val="8"/>
          <w:jc w:val="right"/>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170C46">
    <w:pPr>
      <w:pStyle w:val="6"/>
    </w:pPr>
    <w:r>
      <w:drawing>
        <wp:inline distT="0" distB="0" distL="114300" distR="114300">
          <wp:extent cx="1343025" cy="1037590"/>
          <wp:effectExtent l="0" t="0" r="0" b="0"/>
          <wp:docPr id="1" name="Imagen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G_256"/>
                  <pic:cNvPicPr>
                    <a:picLocks noChangeAspect="1"/>
                  </pic:cNvPicPr>
                </pic:nvPicPr>
                <pic:blipFill>
                  <a:blip r:embed="rId1"/>
                  <a:stretch>
                    <a:fillRect/>
                  </a:stretch>
                </pic:blipFill>
                <pic:spPr>
                  <a:xfrm>
                    <a:off x="0" y="0"/>
                    <a:ext cx="1345064" cy="1039800"/>
                  </a:xfrm>
                  <a:prstGeom prst="rect">
                    <a:avLst/>
                  </a:prstGeom>
                  <a:noFill/>
                  <a:ln>
                    <a:noFill/>
                  </a:ln>
                </pic:spPr>
              </pic:pic>
            </a:graphicData>
          </a:graphic>
        </wp:inline>
      </w:drawing>
    </w:r>
    <w:r>
      <w:t xml:space="preserve">                       </w:t>
    </w:r>
    <w:r>
      <w:rPr>
        <w:lang w:val="es-MX"/>
      </w:rPr>
      <w:t xml:space="preserve">                 </w:t>
    </w:r>
    <w:r>
      <w:rPr>
        <w:lang w:val="es-MX" w:eastAsia="es-ES"/>
      </w:rPr>
      <w:t xml:space="preserve">  </w:t>
    </w:r>
    <w:r>
      <w:rPr>
        <w:lang w:val="es-MX"/>
      </w:rPr>
      <w:t xml:space="preserve">     </w:t>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numPicBullet w:numPicBulletId="0">
    <w:pict>
      <v:shape id="0" type="#_x0000_t75" style="width:15px;height:15px" o:bullet="t">
        <v:imagedata r:id="rId1" o:title=""/>
      </v:shape>
    </w:pict>
  </w:numPicBullet>
  <w:abstractNum w:abstractNumId="0">
    <w:nsid w:val="35FB2105"/>
    <w:multiLevelType w:val="multilevel"/>
    <w:tmpl w:val="35FB2105"/>
    <w:lvl w:ilvl="0" w:tentative="0">
      <w:start w:val="1"/>
      <w:numFmt w:val="decimal"/>
      <w:lvlText w:val="%1."/>
      <w:lvlJc w:val="left"/>
      <w:pPr>
        <w:ind w:left="786" w:hanging="360"/>
      </w:pPr>
      <w:rPr>
        <w:rFonts w:hint="default"/>
        <w:b/>
      </w:rPr>
    </w:lvl>
    <w:lvl w:ilvl="1" w:tentative="0">
      <w:start w:val="1"/>
      <w:numFmt w:val="decimal"/>
      <w:isLgl/>
      <w:lvlText w:val="%1.%2"/>
      <w:lvlJc w:val="left"/>
      <w:pPr>
        <w:ind w:left="480" w:hanging="480"/>
      </w:pPr>
      <w:rPr>
        <w:rFonts w:hint="default"/>
      </w:rPr>
    </w:lvl>
    <w:lvl w:ilvl="2" w:tentative="0">
      <w:start w:val="1"/>
      <w:numFmt w:val="decimal"/>
      <w:isLgl/>
      <w:lvlText w:val="%1.%2.%3"/>
      <w:lvlJc w:val="left"/>
      <w:pPr>
        <w:ind w:left="1146" w:hanging="720"/>
      </w:pPr>
      <w:rPr>
        <w:rFonts w:hint="default"/>
      </w:rPr>
    </w:lvl>
    <w:lvl w:ilvl="3" w:tentative="0">
      <w:start w:val="1"/>
      <w:numFmt w:val="decimal"/>
      <w:isLgl/>
      <w:lvlText w:val="%1.%2.%3.%4"/>
      <w:lvlJc w:val="left"/>
      <w:pPr>
        <w:ind w:left="1146" w:hanging="720"/>
      </w:pPr>
      <w:rPr>
        <w:rFonts w:hint="default"/>
      </w:rPr>
    </w:lvl>
    <w:lvl w:ilvl="4" w:tentative="0">
      <w:start w:val="1"/>
      <w:numFmt w:val="decimal"/>
      <w:isLgl/>
      <w:lvlText w:val="%1.%2.%3.%4.%5"/>
      <w:lvlJc w:val="left"/>
      <w:pPr>
        <w:ind w:left="1506" w:hanging="1080"/>
      </w:pPr>
      <w:rPr>
        <w:rFonts w:hint="default"/>
      </w:rPr>
    </w:lvl>
    <w:lvl w:ilvl="5" w:tentative="0">
      <w:start w:val="1"/>
      <w:numFmt w:val="decimal"/>
      <w:isLgl/>
      <w:lvlText w:val="%1.%2.%3.%4.%5.%6"/>
      <w:lvlJc w:val="left"/>
      <w:pPr>
        <w:ind w:left="1506" w:hanging="1080"/>
      </w:pPr>
      <w:rPr>
        <w:rFonts w:hint="default"/>
      </w:rPr>
    </w:lvl>
    <w:lvl w:ilvl="6" w:tentative="0">
      <w:start w:val="1"/>
      <w:numFmt w:val="decimal"/>
      <w:isLgl/>
      <w:lvlText w:val="%1.%2.%3.%4.%5.%6.%7"/>
      <w:lvlJc w:val="left"/>
      <w:pPr>
        <w:ind w:left="1866" w:hanging="1440"/>
      </w:pPr>
      <w:rPr>
        <w:rFonts w:hint="default"/>
      </w:rPr>
    </w:lvl>
    <w:lvl w:ilvl="7" w:tentative="0">
      <w:start w:val="1"/>
      <w:numFmt w:val="decimal"/>
      <w:isLgl/>
      <w:lvlText w:val="%1.%2.%3.%4.%5.%6.%7.%8"/>
      <w:lvlJc w:val="left"/>
      <w:pPr>
        <w:ind w:left="1866" w:hanging="1440"/>
      </w:pPr>
      <w:rPr>
        <w:rFonts w:hint="default"/>
      </w:rPr>
    </w:lvl>
    <w:lvl w:ilvl="8" w:tentative="0">
      <w:start w:val="1"/>
      <w:numFmt w:val="decimal"/>
      <w:isLgl/>
      <w:lvlText w:val="%1.%2.%3.%4.%5.%6.%7.%8.%9"/>
      <w:lvlJc w:val="left"/>
      <w:pPr>
        <w:ind w:left="2226" w:hanging="1800"/>
      </w:pPr>
      <w:rPr>
        <w:rFonts w:hint="default"/>
      </w:rPr>
    </w:lvl>
  </w:abstractNum>
  <w:abstractNum w:abstractNumId="1">
    <w:nsid w:val="3D0B0628"/>
    <w:multiLevelType w:val="multilevel"/>
    <w:tmpl w:val="3D0B0628"/>
    <w:lvl w:ilvl="0" w:tentative="0">
      <w:start w:val="1"/>
      <w:numFmt w:val="decimal"/>
      <w:lvlText w:val="%1."/>
      <w:lvlJc w:val="left"/>
      <w:pPr>
        <w:ind w:left="720" w:hanging="360"/>
      </w:pPr>
      <w:rPr>
        <w:b/>
      </w:rPr>
    </w:lvl>
    <w:lvl w:ilvl="1" w:tentative="0">
      <w:start w:val="1"/>
      <w:numFmt w:val="decimal"/>
      <w:isLgl/>
      <w:lvlText w:val="%1.%2"/>
      <w:lvlJc w:val="left"/>
      <w:pPr>
        <w:ind w:left="1155" w:hanging="435"/>
      </w:pPr>
      <w:rPr>
        <w:rFonts w:hint="default"/>
        <w:b/>
      </w:rPr>
    </w:lvl>
    <w:lvl w:ilvl="2" w:tentative="0">
      <w:start w:val="1"/>
      <w:numFmt w:val="decimal"/>
      <w:isLgl/>
      <w:lvlText w:val="%1.%2.%3"/>
      <w:lvlJc w:val="left"/>
      <w:pPr>
        <w:ind w:left="1800" w:hanging="720"/>
      </w:pPr>
      <w:rPr>
        <w:rFonts w:hint="default"/>
      </w:rPr>
    </w:lvl>
    <w:lvl w:ilvl="3" w:tentative="0">
      <w:start w:val="1"/>
      <w:numFmt w:val="decimal"/>
      <w:isLgl/>
      <w:lvlText w:val="%1.%2.%3.%4"/>
      <w:lvlJc w:val="left"/>
      <w:pPr>
        <w:ind w:left="2160" w:hanging="720"/>
      </w:pPr>
      <w:rPr>
        <w:rFonts w:hint="default"/>
      </w:rPr>
    </w:lvl>
    <w:lvl w:ilvl="4" w:tentative="0">
      <w:start w:val="1"/>
      <w:numFmt w:val="decimal"/>
      <w:isLgl/>
      <w:lvlText w:val="%1.%2.%3.%4.%5"/>
      <w:lvlJc w:val="left"/>
      <w:pPr>
        <w:ind w:left="2880" w:hanging="1080"/>
      </w:pPr>
      <w:rPr>
        <w:rFonts w:hint="default"/>
      </w:rPr>
    </w:lvl>
    <w:lvl w:ilvl="5" w:tentative="0">
      <w:start w:val="1"/>
      <w:numFmt w:val="decimal"/>
      <w:isLgl/>
      <w:lvlText w:val="%1.%2.%3.%4.%5.%6"/>
      <w:lvlJc w:val="left"/>
      <w:pPr>
        <w:ind w:left="3240" w:hanging="108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320" w:hanging="1440"/>
      </w:pPr>
      <w:rPr>
        <w:rFonts w:hint="default"/>
      </w:rPr>
    </w:lvl>
    <w:lvl w:ilvl="8" w:tentative="0">
      <w:start w:val="1"/>
      <w:numFmt w:val="decimal"/>
      <w:isLgl/>
      <w:lvlText w:val="%1.%2.%3.%4.%5.%6.%7.%8.%9"/>
      <w:lvlJc w:val="left"/>
      <w:pPr>
        <w:ind w:left="5040" w:hanging="1800"/>
      </w:pPr>
      <w:rPr>
        <w:rFonts w:hint="default"/>
      </w:rPr>
    </w:lvl>
  </w:abstractNum>
  <w:abstractNum w:abstractNumId="2">
    <w:nsid w:val="5C7E0D7F"/>
    <w:multiLevelType w:val="multilevel"/>
    <w:tmpl w:val="5C7E0D7F"/>
    <w:lvl w:ilvl="0" w:tentative="0">
      <w:start w:val="1"/>
      <w:numFmt w:val="bullet"/>
      <w:lvlText w:val=""/>
      <w:lvlPicBulletId w:val="0"/>
      <w:lvlJc w:val="left"/>
      <w:pPr>
        <w:ind w:left="780" w:hanging="360"/>
      </w:pPr>
      <w:rPr>
        <w:rFonts w:hint="default" w:ascii="Symbol" w:hAnsi="Symbol"/>
      </w:rPr>
    </w:lvl>
    <w:lvl w:ilvl="1" w:tentative="0">
      <w:start w:val="1"/>
      <w:numFmt w:val="bullet"/>
      <w:lvlText w:val="o"/>
      <w:lvlJc w:val="left"/>
      <w:pPr>
        <w:ind w:left="1500" w:hanging="360"/>
      </w:pPr>
      <w:rPr>
        <w:rFonts w:hint="default" w:ascii="Courier New" w:hAnsi="Courier New" w:cs="Courier New"/>
      </w:rPr>
    </w:lvl>
    <w:lvl w:ilvl="2" w:tentative="0">
      <w:start w:val="1"/>
      <w:numFmt w:val="bullet"/>
      <w:lvlText w:val=""/>
      <w:lvlJc w:val="left"/>
      <w:pPr>
        <w:ind w:left="2220" w:hanging="360"/>
      </w:pPr>
      <w:rPr>
        <w:rFonts w:hint="default" w:ascii="Wingdings" w:hAnsi="Wingdings"/>
      </w:rPr>
    </w:lvl>
    <w:lvl w:ilvl="3" w:tentative="0">
      <w:start w:val="1"/>
      <w:numFmt w:val="bullet"/>
      <w:lvlText w:val=""/>
      <w:lvlJc w:val="left"/>
      <w:pPr>
        <w:ind w:left="2940" w:hanging="360"/>
      </w:pPr>
      <w:rPr>
        <w:rFonts w:hint="default" w:ascii="Symbol" w:hAnsi="Symbol"/>
      </w:rPr>
    </w:lvl>
    <w:lvl w:ilvl="4" w:tentative="0">
      <w:start w:val="1"/>
      <w:numFmt w:val="bullet"/>
      <w:lvlText w:val="o"/>
      <w:lvlJc w:val="left"/>
      <w:pPr>
        <w:ind w:left="3660" w:hanging="360"/>
      </w:pPr>
      <w:rPr>
        <w:rFonts w:hint="default" w:ascii="Courier New" w:hAnsi="Courier New" w:cs="Courier New"/>
      </w:rPr>
    </w:lvl>
    <w:lvl w:ilvl="5" w:tentative="0">
      <w:start w:val="1"/>
      <w:numFmt w:val="bullet"/>
      <w:lvlText w:val=""/>
      <w:lvlJc w:val="left"/>
      <w:pPr>
        <w:ind w:left="4380" w:hanging="360"/>
      </w:pPr>
      <w:rPr>
        <w:rFonts w:hint="default" w:ascii="Wingdings" w:hAnsi="Wingdings"/>
      </w:rPr>
    </w:lvl>
    <w:lvl w:ilvl="6" w:tentative="0">
      <w:start w:val="1"/>
      <w:numFmt w:val="bullet"/>
      <w:lvlText w:val=""/>
      <w:lvlJc w:val="left"/>
      <w:pPr>
        <w:ind w:left="5100" w:hanging="360"/>
      </w:pPr>
      <w:rPr>
        <w:rFonts w:hint="default" w:ascii="Symbol" w:hAnsi="Symbol"/>
      </w:rPr>
    </w:lvl>
    <w:lvl w:ilvl="7" w:tentative="0">
      <w:start w:val="1"/>
      <w:numFmt w:val="bullet"/>
      <w:lvlText w:val="o"/>
      <w:lvlJc w:val="left"/>
      <w:pPr>
        <w:ind w:left="5820" w:hanging="360"/>
      </w:pPr>
      <w:rPr>
        <w:rFonts w:hint="default" w:ascii="Courier New" w:hAnsi="Courier New" w:cs="Courier New"/>
      </w:rPr>
    </w:lvl>
    <w:lvl w:ilvl="8" w:tentative="0">
      <w:start w:val="1"/>
      <w:numFmt w:val="bullet"/>
      <w:lvlText w:val=""/>
      <w:lvlJc w:val="left"/>
      <w:pPr>
        <w:ind w:left="6540" w:hanging="360"/>
      </w:pPr>
      <w:rPr>
        <w:rFonts w:hint="default" w:ascii="Wingdings" w:hAnsi="Wingdings"/>
      </w:rPr>
    </w:lvl>
  </w:abstractNum>
  <w:abstractNum w:abstractNumId="3">
    <w:nsid w:val="6C247E4C"/>
    <w:multiLevelType w:val="multilevel"/>
    <w:tmpl w:val="6C247E4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CC6"/>
    <w:rsid w:val="000020DB"/>
    <w:rsid w:val="00002477"/>
    <w:rsid w:val="00023F55"/>
    <w:rsid w:val="000460DB"/>
    <w:rsid w:val="000467E9"/>
    <w:rsid w:val="00057CF8"/>
    <w:rsid w:val="00060F40"/>
    <w:rsid w:val="00061E3C"/>
    <w:rsid w:val="00066B4E"/>
    <w:rsid w:val="00084916"/>
    <w:rsid w:val="00087D7F"/>
    <w:rsid w:val="00091090"/>
    <w:rsid w:val="000A7E02"/>
    <w:rsid w:val="000B0764"/>
    <w:rsid w:val="000C349E"/>
    <w:rsid w:val="000E725B"/>
    <w:rsid w:val="000E7B67"/>
    <w:rsid w:val="000F2335"/>
    <w:rsid w:val="00125BE5"/>
    <w:rsid w:val="0013029F"/>
    <w:rsid w:val="00141859"/>
    <w:rsid w:val="001737C7"/>
    <w:rsid w:val="00176063"/>
    <w:rsid w:val="00191039"/>
    <w:rsid w:val="00192482"/>
    <w:rsid w:val="001A059C"/>
    <w:rsid w:val="001A6393"/>
    <w:rsid w:val="001B4CE8"/>
    <w:rsid w:val="001C29C8"/>
    <w:rsid w:val="001C3718"/>
    <w:rsid w:val="001C4438"/>
    <w:rsid w:val="001C6509"/>
    <w:rsid w:val="001D0737"/>
    <w:rsid w:val="001D0A82"/>
    <w:rsid w:val="001D2C06"/>
    <w:rsid w:val="001E0C6F"/>
    <w:rsid w:val="00202087"/>
    <w:rsid w:val="00214A85"/>
    <w:rsid w:val="00214F1C"/>
    <w:rsid w:val="00240863"/>
    <w:rsid w:val="00242DD7"/>
    <w:rsid w:val="00243711"/>
    <w:rsid w:val="00251111"/>
    <w:rsid w:val="002557FA"/>
    <w:rsid w:val="002700F9"/>
    <w:rsid w:val="0027386B"/>
    <w:rsid w:val="002866F7"/>
    <w:rsid w:val="00294956"/>
    <w:rsid w:val="00297727"/>
    <w:rsid w:val="002B4E79"/>
    <w:rsid w:val="002B517A"/>
    <w:rsid w:val="002B54D3"/>
    <w:rsid w:val="002D6C1F"/>
    <w:rsid w:val="002E79DA"/>
    <w:rsid w:val="002F3C29"/>
    <w:rsid w:val="003117D1"/>
    <w:rsid w:val="0032572E"/>
    <w:rsid w:val="0033353A"/>
    <w:rsid w:val="003338EB"/>
    <w:rsid w:val="0034254F"/>
    <w:rsid w:val="00342663"/>
    <w:rsid w:val="00363C2E"/>
    <w:rsid w:val="003855AA"/>
    <w:rsid w:val="003C490F"/>
    <w:rsid w:val="003D2C3F"/>
    <w:rsid w:val="003D6C99"/>
    <w:rsid w:val="003E262C"/>
    <w:rsid w:val="003E2701"/>
    <w:rsid w:val="003F5D82"/>
    <w:rsid w:val="003F69FB"/>
    <w:rsid w:val="0041584E"/>
    <w:rsid w:val="004363C6"/>
    <w:rsid w:val="00460F8C"/>
    <w:rsid w:val="00461F2D"/>
    <w:rsid w:val="00472F7D"/>
    <w:rsid w:val="0047338E"/>
    <w:rsid w:val="00485496"/>
    <w:rsid w:val="004B2E00"/>
    <w:rsid w:val="004B5946"/>
    <w:rsid w:val="004B7C04"/>
    <w:rsid w:val="004C00B1"/>
    <w:rsid w:val="004D7B01"/>
    <w:rsid w:val="004E2A8D"/>
    <w:rsid w:val="004E4967"/>
    <w:rsid w:val="004F18D4"/>
    <w:rsid w:val="004F4B08"/>
    <w:rsid w:val="004F693D"/>
    <w:rsid w:val="004F7E5F"/>
    <w:rsid w:val="004F7FA4"/>
    <w:rsid w:val="005072F5"/>
    <w:rsid w:val="00507D53"/>
    <w:rsid w:val="00520F65"/>
    <w:rsid w:val="00524862"/>
    <w:rsid w:val="00532E12"/>
    <w:rsid w:val="00536D3D"/>
    <w:rsid w:val="00543ACD"/>
    <w:rsid w:val="00554207"/>
    <w:rsid w:val="00554DF9"/>
    <w:rsid w:val="00555267"/>
    <w:rsid w:val="005805C2"/>
    <w:rsid w:val="00596FAA"/>
    <w:rsid w:val="005B2CB5"/>
    <w:rsid w:val="005D08D7"/>
    <w:rsid w:val="005D43A7"/>
    <w:rsid w:val="005D5817"/>
    <w:rsid w:val="005E3B73"/>
    <w:rsid w:val="005E5734"/>
    <w:rsid w:val="006106E7"/>
    <w:rsid w:val="0061162D"/>
    <w:rsid w:val="00612BAC"/>
    <w:rsid w:val="00615C2A"/>
    <w:rsid w:val="00624D0B"/>
    <w:rsid w:val="00635393"/>
    <w:rsid w:val="00637CC6"/>
    <w:rsid w:val="00646C05"/>
    <w:rsid w:val="00657972"/>
    <w:rsid w:val="0066051A"/>
    <w:rsid w:val="00660784"/>
    <w:rsid w:val="00667A49"/>
    <w:rsid w:val="0067141A"/>
    <w:rsid w:val="0067643C"/>
    <w:rsid w:val="00695DAA"/>
    <w:rsid w:val="006A0B6C"/>
    <w:rsid w:val="006A76C3"/>
    <w:rsid w:val="006C2DD7"/>
    <w:rsid w:val="006D59FC"/>
    <w:rsid w:val="006E1FAF"/>
    <w:rsid w:val="006E2DCF"/>
    <w:rsid w:val="006E6C04"/>
    <w:rsid w:val="006F1EC4"/>
    <w:rsid w:val="00717D25"/>
    <w:rsid w:val="00720EC4"/>
    <w:rsid w:val="007251B4"/>
    <w:rsid w:val="00727866"/>
    <w:rsid w:val="00732958"/>
    <w:rsid w:val="00734833"/>
    <w:rsid w:val="00752A23"/>
    <w:rsid w:val="007532DA"/>
    <w:rsid w:val="007559CC"/>
    <w:rsid w:val="00760BC0"/>
    <w:rsid w:val="00770657"/>
    <w:rsid w:val="00773BDC"/>
    <w:rsid w:val="00781315"/>
    <w:rsid w:val="00781878"/>
    <w:rsid w:val="007843D4"/>
    <w:rsid w:val="007A0D86"/>
    <w:rsid w:val="007B4030"/>
    <w:rsid w:val="007C27AD"/>
    <w:rsid w:val="007C42A8"/>
    <w:rsid w:val="007C47AD"/>
    <w:rsid w:val="007C5AE4"/>
    <w:rsid w:val="007C78FD"/>
    <w:rsid w:val="007D28A4"/>
    <w:rsid w:val="007D5035"/>
    <w:rsid w:val="007D6CE3"/>
    <w:rsid w:val="007F379F"/>
    <w:rsid w:val="007F5B3A"/>
    <w:rsid w:val="007F6863"/>
    <w:rsid w:val="00804DE4"/>
    <w:rsid w:val="00853A94"/>
    <w:rsid w:val="00867580"/>
    <w:rsid w:val="00892195"/>
    <w:rsid w:val="0089749E"/>
    <w:rsid w:val="008A3C39"/>
    <w:rsid w:val="008B2098"/>
    <w:rsid w:val="008B21A3"/>
    <w:rsid w:val="008B3985"/>
    <w:rsid w:val="008C138D"/>
    <w:rsid w:val="008D16C5"/>
    <w:rsid w:val="008D363C"/>
    <w:rsid w:val="008D708A"/>
    <w:rsid w:val="008F4997"/>
    <w:rsid w:val="008F5EA7"/>
    <w:rsid w:val="00900982"/>
    <w:rsid w:val="00906125"/>
    <w:rsid w:val="009154C9"/>
    <w:rsid w:val="00930AA8"/>
    <w:rsid w:val="00944054"/>
    <w:rsid w:val="00945BFA"/>
    <w:rsid w:val="00965B39"/>
    <w:rsid w:val="00965CF3"/>
    <w:rsid w:val="00977241"/>
    <w:rsid w:val="009A44FA"/>
    <w:rsid w:val="009B1D7A"/>
    <w:rsid w:val="009B589B"/>
    <w:rsid w:val="009C2447"/>
    <w:rsid w:val="009C71F2"/>
    <w:rsid w:val="009D2580"/>
    <w:rsid w:val="009D4C56"/>
    <w:rsid w:val="009E06D4"/>
    <w:rsid w:val="009E2373"/>
    <w:rsid w:val="009F003C"/>
    <w:rsid w:val="009F6A3D"/>
    <w:rsid w:val="00A01855"/>
    <w:rsid w:val="00A31E2C"/>
    <w:rsid w:val="00A5198F"/>
    <w:rsid w:val="00A73D6B"/>
    <w:rsid w:val="00A73E49"/>
    <w:rsid w:val="00A76FFB"/>
    <w:rsid w:val="00A77E78"/>
    <w:rsid w:val="00A8504C"/>
    <w:rsid w:val="00A901CD"/>
    <w:rsid w:val="00AB1D60"/>
    <w:rsid w:val="00AE0C3A"/>
    <w:rsid w:val="00AE573D"/>
    <w:rsid w:val="00AE64D5"/>
    <w:rsid w:val="00AE666C"/>
    <w:rsid w:val="00AE7483"/>
    <w:rsid w:val="00AF45C2"/>
    <w:rsid w:val="00B0314E"/>
    <w:rsid w:val="00B17A40"/>
    <w:rsid w:val="00B22148"/>
    <w:rsid w:val="00B30440"/>
    <w:rsid w:val="00B36368"/>
    <w:rsid w:val="00B37FBD"/>
    <w:rsid w:val="00B57E64"/>
    <w:rsid w:val="00B602F3"/>
    <w:rsid w:val="00B774AD"/>
    <w:rsid w:val="00B843F9"/>
    <w:rsid w:val="00B860E3"/>
    <w:rsid w:val="00B91FCA"/>
    <w:rsid w:val="00BA79D6"/>
    <w:rsid w:val="00BA7AB9"/>
    <w:rsid w:val="00BB1C95"/>
    <w:rsid w:val="00BB302F"/>
    <w:rsid w:val="00BB4F9B"/>
    <w:rsid w:val="00BC6A44"/>
    <w:rsid w:val="00BD7878"/>
    <w:rsid w:val="00BE342A"/>
    <w:rsid w:val="00BE54EC"/>
    <w:rsid w:val="00BE76D0"/>
    <w:rsid w:val="00C042F8"/>
    <w:rsid w:val="00C114CC"/>
    <w:rsid w:val="00C1223E"/>
    <w:rsid w:val="00C20094"/>
    <w:rsid w:val="00C22721"/>
    <w:rsid w:val="00C24846"/>
    <w:rsid w:val="00C26777"/>
    <w:rsid w:val="00C26C3B"/>
    <w:rsid w:val="00C4536D"/>
    <w:rsid w:val="00C51EBF"/>
    <w:rsid w:val="00C54807"/>
    <w:rsid w:val="00C62C98"/>
    <w:rsid w:val="00C66BFF"/>
    <w:rsid w:val="00C71549"/>
    <w:rsid w:val="00C9492A"/>
    <w:rsid w:val="00C9541B"/>
    <w:rsid w:val="00CA7475"/>
    <w:rsid w:val="00CC7C2E"/>
    <w:rsid w:val="00D20CBE"/>
    <w:rsid w:val="00D51A1D"/>
    <w:rsid w:val="00D62833"/>
    <w:rsid w:val="00D75004"/>
    <w:rsid w:val="00D77253"/>
    <w:rsid w:val="00DB0F49"/>
    <w:rsid w:val="00DB100C"/>
    <w:rsid w:val="00DB64F5"/>
    <w:rsid w:val="00DC0A1F"/>
    <w:rsid w:val="00DD3DB0"/>
    <w:rsid w:val="00DE6B8D"/>
    <w:rsid w:val="00DF01D0"/>
    <w:rsid w:val="00E06D22"/>
    <w:rsid w:val="00E16A2B"/>
    <w:rsid w:val="00E244FA"/>
    <w:rsid w:val="00E332E2"/>
    <w:rsid w:val="00E373B9"/>
    <w:rsid w:val="00E44CB8"/>
    <w:rsid w:val="00E4675B"/>
    <w:rsid w:val="00E47180"/>
    <w:rsid w:val="00E52522"/>
    <w:rsid w:val="00E5348C"/>
    <w:rsid w:val="00E60A24"/>
    <w:rsid w:val="00E6621B"/>
    <w:rsid w:val="00E667EB"/>
    <w:rsid w:val="00E67895"/>
    <w:rsid w:val="00EA0AB0"/>
    <w:rsid w:val="00EA0D01"/>
    <w:rsid w:val="00EB7A9E"/>
    <w:rsid w:val="00EC264D"/>
    <w:rsid w:val="00EC7EA1"/>
    <w:rsid w:val="00ED61D5"/>
    <w:rsid w:val="00ED7899"/>
    <w:rsid w:val="00EE1E23"/>
    <w:rsid w:val="00EE4864"/>
    <w:rsid w:val="00EE51E3"/>
    <w:rsid w:val="00EE783A"/>
    <w:rsid w:val="00EF4DBB"/>
    <w:rsid w:val="00F12572"/>
    <w:rsid w:val="00F3089A"/>
    <w:rsid w:val="00F51606"/>
    <w:rsid w:val="00F52922"/>
    <w:rsid w:val="00F55E76"/>
    <w:rsid w:val="00F6623F"/>
    <w:rsid w:val="00F67331"/>
    <w:rsid w:val="00F75254"/>
    <w:rsid w:val="00F83624"/>
    <w:rsid w:val="00F90369"/>
    <w:rsid w:val="00F9455E"/>
    <w:rsid w:val="00F963D3"/>
    <w:rsid w:val="00FA0373"/>
    <w:rsid w:val="00FB78B7"/>
    <w:rsid w:val="00FC5242"/>
    <w:rsid w:val="00FE25CA"/>
    <w:rsid w:val="00FF0016"/>
    <w:rsid w:val="00FF5BB6"/>
    <w:rsid w:val="10125D1B"/>
    <w:rsid w:val="251A17E4"/>
    <w:rsid w:val="5D6A6124"/>
  </w:rsids>
  <m:mathPr>
    <m:mathFont m:val="Cambria Math"/>
    <m:brkBin m:val="before"/>
    <m:brkBinSub m:val="--"/>
    <m:smallFrac m:val="1"/>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s-CL" w:eastAsia="es-CL"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unhideWhenUsed/>
    <w:uiPriority w:val="99"/>
    <w:rPr>
      <w:color w:val="0000FF" w:themeColor="hyperlink"/>
      <w:u w:val="single"/>
      <w14:textFill>
        <w14:solidFill>
          <w14:schemeClr w14:val="hlink"/>
        </w14:solidFill>
      </w14:textFill>
    </w:rPr>
  </w:style>
  <w:style w:type="paragraph" w:styleId="5">
    <w:name w:val="Balloon Text"/>
    <w:basedOn w:val="1"/>
    <w:link w:val="13"/>
    <w:semiHidden/>
    <w:unhideWhenUsed/>
    <w:qFormat/>
    <w:uiPriority w:val="99"/>
    <w:pPr>
      <w:spacing w:after="0" w:line="240" w:lineRule="auto"/>
    </w:pPr>
    <w:rPr>
      <w:rFonts w:ascii="Tahoma" w:hAnsi="Tahoma" w:cs="Tahoma"/>
      <w:sz w:val="16"/>
      <w:szCs w:val="16"/>
    </w:rPr>
  </w:style>
  <w:style w:type="paragraph" w:styleId="6">
    <w:name w:val="header"/>
    <w:basedOn w:val="1"/>
    <w:link w:val="11"/>
    <w:unhideWhenUsed/>
    <w:qFormat/>
    <w:uiPriority w:val="99"/>
    <w:pPr>
      <w:tabs>
        <w:tab w:val="center" w:pos="4419"/>
        <w:tab w:val="right" w:pos="8838"/>
      </w:tabs>
      <w:spacing w:after="0" w:line="240" w:lineRule="auto"/>
    </w:pPr>
  </w:style>
  <w:style w:type="paragraph" w:styleId="7">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paragraph" w:styleId="8">
    <w:name w:val="footer"/>
    <w:basedOn w:val="1"/>
    <w:link w:val="12"/>
    <w:unhideWhenUsed/>
    <w:qFormat/>
    <w:uiPriority w:val="99"/>
    <w:pPr>
      <w:tabs>
        <w:tab w:val="center" w:pos="4419"/>
        <w:tab w:val="right" w:pos="8838"/>
      </w:tabs>
      <w:spacing w:after="0" w:line="240" w:lineRule="auto"/>
    </w:pPr>
  </w:style>
  <w:style w:type="table" w:styleId="9">
    <w:name w:val="Table Grid"/>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0">
    <w:name w:val="List Paragraph"/>
    <w:basedOn w:val="1"/>
    <w:qFormat/>
    <w:uiPriority w:val="34"/>
    <w:pPr>
      <w:ind w:left="720"/>
      <w:contextualSpacing/>
    </w:pPr>
  </w:style>
  <w:style w:type="character" w:customStyle="1" w:styleId="11">
    <w:name w:val="Encabezado Car"/>
    <w:basedOn w:val="2"/>
    <w:link w:val="6"/>
    <w:qFormat/>
    <w:uiPriority w:val="99"/>
  </w:style>
  <w:style w:type="character" w:customStyle="1" w:styleId="12">
    <w:name w:val="Pie de página Car"/>
    <w:basedOn w:val="2"/>
    <w:link w:val="8"/>
    <w:qFormat/>
    <w:uiPriority w:val="99"/>
  </w:style>
  <w:style w:type="character" w:customStyle="1" w:styleId="13">
    <w:name w:val="Texto de globo Car"/>
    <w:basedOn w:val="2"/>
    <w:link w:val="5"/>
    <w:semiHidden/>
    <w:qFormat/>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numbering.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4F069A-EFFC-40D2-A053-4B25A893934F}">
  <ds:schemaRefs/>
</ds:datastoreItem>
</file>

<file path=docProps/app.xml><?xml version="1.0" encoding="utf-8"?>
<Properties xmlns="http://schemas.openxmlformats.org/officeDocument/2006/extended-properties" xmlns:vt="http://schemas.openxmlformats.org/officeDocument/2006/docPropsVTypes">
  <Template>Normal</Template>
  <Company>Hewlett-Packard</Company>
  <Pages>5</Pages>
  <Words>1331</Words>
  <Characters>7254</Characters>
  <Lines>62</Lines>
  <Paragraphs>17</Paragraphs>
  <TotalTime>163</TotalTime>
  <ScaleCrop>false</ScaleCrop>
  <LinksUpToDate>false</LinksUpToDate>
  <CharactersWithSpaces>8633</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2026-08-24T20:17:00Z</dcterms:created>
  <dc:creator>rafa</dc:creator>
  <cp:lastModifiedBy>costumbristaartistico</cp:lastModifiedBy>
  <cp:lastPrinted>2026-08-24T20:15:00Z</cp:lastPrinted>
  <dcterms:modified xsi:type="dcterms:W3CDTF">2026-09-07T02:02:45Z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3082-12.1.0.28485</vt:lpwstr>
  </property>
  <property fmtid="{D5CDD505-2E9C-101B-9397-08002B2CF9AE}" pid="3" name="ICV">
    <vt:lpwstr>03089329C53C4277ABB3E8397D2CA2BF</vt:lpwstr>
  </property>
  <property fmtid="{D5CDD505-2E9C-101B-9397-08002B2CF9AE}" pid="4" name="KSOTemplateDocerSaveRecord">
    <vt:lpwstr>eyJoZGlkIjoiMDQyNTUzMjRkNTBiYjE2MzNiZThmNDgwNWI1ZDJjNjAiLCJ1c2VySWQiOiIxNjY3MTI4MjIzODc1In0=</vt:lpwstr>
  </property>
</Properties>
</file>